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78314" w14:textId="267D757C" w:rsidR="00DE50C5" w:rsidRPr="007A6A1C" w:rsidRDefault="008131B1" w:rsidP="002151DB">
      <w:pPr>
        <w:spacing w:after="0"/>
        <w:ind w:left="3969"/>
        <w:jc w:val="right"/>
        <w:rPr>
          <w:rFonts w:ascii="Arial" w:hAnsi="Arial" w:cs="Arial"/>
          <w:b/>
          <w:sz w:val="26"/>
          <w:szCs w:val="26"/>
        </w:rPr>
      </w:pPr>
      <w:r>
        <w:rPr>
          <w:noProof/>
        </w:rPr>
        <w:drawing>
          <wp:anchor distT="0" distB="0" distL="114300" distR="114300" simplePos="0" relativeHeight="251659264" behindDoc="1" locked="0" layoutInCell="1" allowOverlap="1" wp14:anchorId="246FABAB" wp14:editId="6B197D3C">
            <wp:simplePos x="0" y="0"/>
            <wp:positionH relativeFrom="column">
              <wp:posOffset>0</wp:posOffset>
            </wp:positionH>
            <wp:positionV relativeFrom="paragraph">
              <wp:posOffset>0</wp:posOffset>
            </wp:positionV>
            <wp:extent cx="5612130" cy="927735"/>
            <wp:effectExtent l="0" t="0" r="1270" b="0"/>
            <wp:wrapNone/>
            <wp:docPr id="498557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57557" name="Imagen 4985575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927735"/>
                    </a:xfrm>
                    <a:prstGeom prst="rect">
                      <a:avLst/>
                    </a:prstGeom>
                  </pic:spPr>
                </pic:pic>
              </a:graphicData>
            </a:graphic>
            <wp14:sizeRelH relativeFrom="page">
              <wp14:pctWidth>0</wp14:pctWidth>
            </wp14:sizeRelH>
            <wp14:sizeRelV relativeFrom="page">
              <wp14:pctHeight>0</wp14:pctHeight>
            </wp14:sizeRelV>
          </wp:anchor>
        </w:drawing>
      </w:r>
      <w:r w:rsidR="00DE50C5" w:rsidRPr="007A6A1C">
        <w:rPr>
          <w:rFonts w:ascii="Arial" w:hAnsi="Arial" w:cs="Arial"/>
          <w:b/>
          <w:sz w:val="26"/>
          <w:szCs w:val="26"/>
        </w:rPr>
        <w:t>ACUERDO PLENO</w:t>
      </w:r>
      <w:r w:rsidR="00DE50C5" w:rsidRPr="003B695F">
        <w:rPr>
          <w:rFonts w:ascii="Arial" w:hAnsi="Arial" w:cs="Arial"/>
          <w:b/>
          <w:sz w:val="26"/>
          <w:szCs w:val="26"/>
        </w:rPr>
        <w:t>-</w:t>
      </w:r>
      <w:r w:rsidR="000F13FA">
        <w:rPr>
          <w:rFonts w:ascii="Arial" w:hAnsi="Arial" w:cs="Arial"/>
          <w:b/>
          <w:sz w:val="26"/>
          <w:szCs w:val="26"/>
        </w:rPr>
        <w:t>0</w:t>
      </w:r>
      <w:r w:rsidR="00D9336D">
        <w:rPr>
          <w:rFonts w:ascii="Arial" w:hAnsi="Arial" w:cs="Arial"/>
          <w:b/>
          <w:sz w:val="26"/>
          <w:szCs w:val="26"/>
        </w:rPr>
        <w:t>46</w:t>
      </w:r>
      <w:r w:rsidR="00DE50C5">
        <w:rPr>
          <w:rFonts w:ascii="Arial" w:hAnsi="Arial" w:cs="Arial"/>
          <w:b/>
          <w:sz w:val="26"/>
          <w:szCs w:val="26"/>
        </w:rPr>
        <w:t>/</w:t>
      </w:r>
      <w:r w:rsidR="00DE50C5" w:rsidRPr="007A6A1C">
        <w:rPr>
          <w:rFonts w:ascii="Arial" w:hAnsi="Arial" w:cs="Arial"/>
          <w:b/>
          <w:sz w:val="26"/>
          <w:szCs w:val="26"/>
        </w:rPr>
        <w:t>202</w:t>
      </w:r>
      <w:r w:rsidR="00551A76">
        <w:rPr>
          <w:rFonts w:ascii="Arial" w:hAnsi="Arial" w:cs="Arial"/>
          <w:b/>
          <w:sz w:val="26"/>
          <w:szCs w:val="26"/>
        </w:rPr>
        <w:t>6</w:t>
      </w:r>
    </w:p>
    <w:p w14:paraId="5F42A6E7" w14:textId="77777777" w:rsidR="002151DB" w:rsidRDefault="002151DB" w:rsidP="00BE7E3C">
      <w:pPr>
        <w:pStyle w:val="Prrafodelista"/>
        <w:ind w:left="4253"/>
        <w:jc w:val="right"/>
        <w:rPr>
          <w:rFonts w:ascii="Arial" w:hAnsi="Arial" w:cs="Arial"/>
          <w:sz w:val="24"/>
          <w:szCs w:val="24"/>
        </w:rPr>
      </w:pPr>
    </w:p>
    <w:p w14:paraId="5E834FFE" w14:textId="77777777" w:rsidR="003C0DF6" w:rsidRDefault="003C0DF6" w:rsidP="00B6171B">
      <w:pPr>
        <w:pStyle w:val="Prrafodelista"/>
        <w:ind w:left="4253"/>
        <w:jc w:val="center"/>
        <w:rPr>
          <w:rFonts w:ascii="Arial" w:hAnsi="Arial" w:cs="Arial"/>
          <w:sz w:val="24"/>
          <w:szCs w:val="24"/>
        </w:rPr>
      </w:pPr>
    </w:p>
    <w:p w14:paraId="0A55926A" w14:textId="2E920AB8" w:rsidR="00F82B1B" w:rsidRPr="00B6171B" w:rsidRDefault="00EF2DAB" w:rsidP="00D842B9">
      <w:pPr>
        <w:pStyle w:val="Prrafodelista"/>
        <w:tabs>
          <w:tab w:val="left" w:pos="5387"/>
        </w:tabs>
        <w:ind w:left="5387"/>
        <w:jc w:val="both"/>
        <w:rPr>
          <w:rFonts w:ascii="Arial" w:hAnsi="Arial" w:cs="Arial"/>
          <w:sz w:val="24"/>
          <w:szCs w:val="24"/>
        </w:rPr>
      </w:pPr>
      <w:r>
        <w:rPr>
          <w:rFonts w:ascii="Arial" w:hAnsi="Arial" w:cs="Arial"/>
          <w:sz w:val="24"/>
          <w:szCs w:val="24"/>
        </w:rPr>
        <w:t xml:space="preserve">Se </w:t>
      </w:r>
      <w:bookmarkStart w:id="0" w:name="_Hlk213847842"/>
      <w:r w:rsidR="00D842B9">
        <w:rPr>
          <w:rFonts w:ascii="Arial" w:hAnsi="Arial" w:cs="Arial"/>
          <w:sz w:val="24"/>
          <w:szCs w:val="24"/>
        </w:rPr>
        <w:t xml:space="preserve">amplía el plazo para emitir el instrumento normativo </w:t>
      </w:r>
      <w:r w:rsidR="005E68C3">
        <w:rPr>
          <w:rFonts w:ascii="Arial" w:hAnsi="Arial" w:cs="Arial"/>
          <w:sz w:val="24"/>
          <w:szCs w:val="24"/>
        </w:rPr>
        <w:t>en materia de archivos del Tribunal.</w:t>
      </w:r>
    </w:p>
    <w:bookmarkEnd w:id="0"/>
    <w:p w14:paraId="3E8C6B62" w14:textId="0C00F3F6" w:rsidR="00DE50C5" w:rsidRPr="007A6A1C" w:rsidRDefault="00DE50C5" w:rsidP="00DE50C5">
      <w:pPr>
        <w:spacing w:after="0"/>
        <w:ind w:left="3969"/>
        <w:jc w:val="both"/>
        <w:rPr>
          <w:rFonts w:ascii="Arial" w:hAnsi="Arial" w:cs="Arial"/>
          <w:b/>
          <w:sz w:val="26"/>
          <w:szCs w:val="26"/>
        </w:rPr>
      </w:pPr>
    </w:p>
    <w:p w14:paraId="2C0075A1" w14:textId="77777777" w:rsidR="00DE50C5" w:rsidRPr="007A6A1C" w:rsidRDefault="00DE50C5" w:rsidP="00DE50C5">
      <w:pPr>
        <w:spacing w:after="0"/>
        <w:jc w:val="right"/>
        <w:rPr>
          <w:rFonts w:ascii="Arial" w:hAnsi="Arial" w:cs="Arial"/>
          <w:b/>
          <w:sz w:val="26"/>
          <w:szCs w:val="26"/>
        </w:rPr>
      </w:pPr>
    </w:p>
    <w:p w14:paraId="1379EF28" w14:textId="1B9119E4" w:rsidR="005249A2" w:rsidRPr="005249A2" w:rsidRDefault="00DE50C5" w:rsidP="00551A76">
      <w:pPr>
        <w:spacing w:after="0" w:line="360" w:lineRule="auto"/>
        <w:jc w:val="both"/>
        <w:rPr>
          <w:rFonts w:ascii="Arial" w:hAnsi="Arial" w:cs="Arial"/>
          <w:sz w:val="24"/>
          <w:szCs w:val="24"/>
        </w:rPr>
      </w:pPr>
      <w:r w:rsidRPr="007A0D81">
        <w:rPr>
          <w:rFonts w:ascii="Arial" w:hAnsi="Arial" w:cs="Arial"/>
          <w:sz w:val="24"/>
          <w:szCs w:val="24"/>
        </w:rPr>
        <w:t>Acuerdo del Pleno del Tribunal Estatal de Justicia Administrativa</w:t>
      </w:r>
      <w:r w:rsidR="0002051C">
        <w:rPr>
          <w:rFonts w:ascii="Arial" w:hAnsi="Arial" w:cs="Arial"/>
          <w:sz w:val="24"/>
          <w:szCs w:val="24"/>
        </w:rPr>
        <w:t>, por el</w:t>
      </w:r>
      <w:r w:rsidRPr="007A0D81">
        <w:rPr>
          <w:rFonts w:ascii="Arial" w:hAnsi="Arial" w:cs="Arial"/>
          <w:sz w:val="24"/>
          <w:szCs w:val="24"/>
        </w:rPr>
        <w:t xml:space="preserve"> que </w:t>
      </w:r>
      <w:r w:rsidR="0002051C">
        <w:rPr>
          <w:rFonts w:ascii="Arial" w:hAnsi="Arial" w:cs="Arial"/>
          <w:sz w:val="24"/>
          <w:szCs w:val="24"/>
        </w:rPr>
        <w:t xml:space="preserve">se </w:t>
      </w:r>
      <w:r w:rsidR="003F4F40">
        <w:rPr>
          <w:rFonts w:ascii="Arial" w:hAnsi="Arial" w:cs="Arial"/>
          <w:sz w:val="24"/>
          <w:szCs w:val="24"/>
        </w:rPr>
        <w:t>aprueba la ampliación del</w:t>
      </w:r>
      <w:r w:rsidR="003F4F40" w:rsidRPr="003F4F40">
        <w:rPr>
          <w:rFonts w:ascii="Arial" w:hAnsi="Arial" w:cs="Arial"/>
          <w:sz w:val="24"/>
          <w:szCs w:val="24"/>
        </w:rPr>
        <w:t xml:space="preserve"> plazo para emitir el instrumento normativo </w:t>
      </w:r>
      <w:r w:rsidR="005E68C3">
        <w:rPr>
          <w:rFonts w:ascii="Arial" w:hAnsi="Arial" w:cs="Arial"/>
          <w:sz w:val="24"/>
          <w:szCs w:val="24"/>
        </w:rPr>
        <w:t>en materia de archivos del Tribunal.</w:t>
      </w:r>
    </w:p>
    <w:p w14:paraId="2961B17F" w14:textId="47D88A40" w:rsidR="00DE50C5" w:rsidRPr="007A0D81" w:rsidRDefault="00DE50C5" w:rsidP="005249A2">
      <w:pPr>
        <w:spacing w:after="0" w:line="360" w:lineRule="auto"/>
        <w:jc w:val="both"/>
        <w:rPr>
          <w:rFonts w:ascii="Arial" w:hAnsi="Arial" w:cs="Arial"/>
          <w:sz w:val="24"/>
          <w:szCs w:val="24"/>
        </w:rPr>
      </w:pPr>
    </w:p>
    <w:p w14:paraId="23E31AE6" w14:textId="77777777" w:rsidR="00DE50C5" w:rsidRPr="007A0D81" w:rsidRDefault="00DE50C5" w:rsidP="00DE50C5">
      <w:pPr>
        <w:spacing w:after="0" w:line="360" w:lineRule="auto"/>
        <w:jc w:val="center"/>
        <w:rPr>
          <w:rFonts w:ascii="Arial" w:hAnsi="Arial" w:cs="Arial"/>
          <w:b/>
          <w:sz w:val="24"/>
          <w:szCs w:val="24"/>
        </w:rPr>
      </w:pPr>
      <w:r w:rsidRPr="007A0D81">
        <w:rPr>
          <w:rFonts w:ascii="Arial" w:hAnsi="Arial" w:cs="Arial"/>
          <w:b/>
          <w:sz w:val="24"/>
          <w:szCs w:val="24"/>
        </w:rPr>
        <w:t>CONSIDERANDO:</w:t>
      </w:r>
    </w:p>
    <w:p w14:paraId="5A8BA126" w14:textId="77777777" w:rsidR="00DE50C5" w:rsidRPr="007A0D81" w:rsidRDefault="00DE50C5" w:rsidP="00DE50C5">
      <w:pPr>
        <w:spacing w:after="0" w:line="360" w:lineRule="auto"/>
        <w:jc w:val="both"/>
        <w:rPr>
          <w:rFonts w:ascii="Arial" w:hAnsi="Arial" w:cs="Arial"/>
          <w:b/>
          <w:sz w:val="24"/>
          <w:szCs w:val="24"/>
        </w:rPr>
      </w:pPr>
    </w:p>
    <w:p w14:paraId="027A8025" w14:textId="397FABFB" w:rsidR="00DE50C5" w:rsidRPr="007A0D81" w:rsidRDefault="00DE50C5" w:rsidP="00EF2DAB">
      <w:pPr>
        <w:spacing w:after="0" w:line="360" w:lineRule="auto"/>
        <w:jc w:val="both"/>
        <w:rPr>
          <w:rFonts w:ascii="Arial" w:hAnsi="Arial" w:cs="Arial"/>
          <w:sz w:val="24"/>
          <w:szCs w:val="24"/>
        </w:rPr>
      </w:pPr>
      <w:r w:rsidRPr="007A0D81">
        <w:rPr>
          <w:rFonts w:ascii="Arial" w:hAnsi="Arial" w:cs="Arial"/>
          <w:b/>
          <w:sz w:val="24"/>
          <w:szCs w:val="24"/>
        </w:rPr>
        <w:t xml:space="preserve">I. </w:t>
      </w:r>
      <w:r w:rsidR="0078202F">
        <w:rPr>
          <w:rFonts w:ascii="Arial" w:hAnsi="Arial" w:cs="Arial"/>
          <w:b/>
          <w:sz w:val="24"/>
          <w:szCs w:val="24"/>
        </w:rPr>
        <w:t xml:space="preserve">Justificación de los tribunales administrativos. </w:t>
      </w:r>
      <w:r w:rsidRPr="007A0D81">
        <w:rPr>
          <w:rFonts w:ascii="Arial" w:hAnsi="Arial" w:cs="Arial"/>
          <w:sz w:val="24"/>
          <w:szCs w:val="24"/>
        </w:rPr>
        <w:t>El artículo 116, fracción V</w:t>
      </w:r>
      <w:r w:rsidR="0092039D">
        <w:rPr>
          <w:rFonts w:ascii="Arial" w:hAnsi="Arial" w:cs="Arial"/>
          <w:sz w:val="24"/>
          <w:szCs w:val="24"/>
        </w:rPr>
        <w:t>,</w:t>
      </w:r>
      <w:r w:rsidRPr="007A0D81">
        <w:rPr>
          <w:rFonts w:ascii="Arial" w:hAnsi="Arial" w:cs="Arial"/>
          <w:sz w:val="24"/>
          <w:szCs w:val="24"/>
        </w:rPr>
        <w:t xml:space="preserve"> de la Constitución Política de los Estados Unidos Mexicanos</w:t>
      </w:r>
      <w:r w:rsidR="0092039D">
        <w:rPr>
          <w:rFonts w:ascii="Arial" w:hAnsi="Arial" w:cs="Arial"/>
          <w:sz w:val="24"/>
          <w:szCs w:val="24"/>
        </w:rPr>
        <w:t>,</w:t>
      </w:r>
      <w:r w:rsidRPr="007A0D81">
        <w:rPr>
          <w:rFonts w:ascii="Arial" w:hAnsi="Arial" w:cs="Arial"/>
          <w:sz w:val="24"/>
          <w:szCs w:val="24"/>
        </w:rPr>
        <w:t xml:space="preserve"> establece que</w:t>
      </w:r>
      <w:r w:rsidR="0078202F">
        <w:rPr>
          <w:rFonts w:ascii="Arial" w:hAnsi="Arial" w:cs="Arial"/>
          <w:sz w:val="24"/>
          <w:szCs w:val="24"/>
        </w:rPr>
        <w:t>,</w:t>
      </w:r>
      <w:r w:rsidRPr="007A0D81">
        <w:rPr>
          <w:rFonts w:ascii="Arial" w:hAnsi="Arial" w:cs="Arial"/>
          <w:sz w:val="24"/>
          <w:szCs w:val="24"/>
        </w:rPr>
        <w:t xml:space="preserve"> </w:t>
      </w:r>
      <w:r w:rsidRPr="007A0D81">
        <w:rPr>
          <w:rFonts w:ascii="Arial" w:hAnsi="Arial" w:cs="Arial"/>
          <w:bCs/>
          <w:sz w:val="24"/>
          <w:szCs w:val="24"/>
        </w:rPr>
        <w:t xml:space="preserve">las </w:t>
      </w:r>
      <w:r w:rsidR="00B5595F">
        <w:rPr>
          <w:rFonts w:ascii="Arial" w:hAnsi="Arial" w:cs="Arial"/>
          <w:bCs/>
          <w:sz w:val="24"/>
          <w:szCs w:val="24"/>
        </w:rPr>
        <w:t>c</w:t>
      </w:r>
      <w:r w:rsidRPr="007A0D81">
        <w:rPr>
          <w:rFonts w:ascii="Arial" w:hAnsi="Arial" w:cs="Arial"/>
          <w:bCs/>
          <w:sz w:val="24"/>
          <w:szCs w:val="24"/>
        </w:rPr>
        <w:t xml:space="preserve">onstituciones y leyes de los </w:t>
      </w:r>
      <w:r w:rsidR="00DC0727">
        <w:rPr>
          <w:rFonts w:ascii="Arial" w:hAnsi="Arial" w:cs="Arial"/>
          <w:bCs/>
          <w:sz w:val="24"/>
          <w:szCs w:val="24"/>
        </w:rPr>
        <w:t>e</w:t>
      </w:r>
      <w:r w:rsidRPr="007A0D81">
        <w:rPr>
          <w:rFonts w:ascii="Arial" w:hAnsi="Arial" w:cs="Arial"/>
          <w:bCs/>
          <w:sz w:val="24"/>
          <w:szCs w:val="24"/>
        </w:rPr>
        <w:t xml:space="preserve">stados deberán instituir </w:t>
      </w:r>
      <w:r w:rsidR="00DC0727">
        <w:rPr>
          <w:rFonts w:ascii="Arial" w:hAnsi="Arial" w:cs="Arial"/>
          <w:bCs/>
          <w:sz w:val="24"/>
          <w:szCs w:val="24"/>
        </w:rPr>
        <w:t>t</w:t>
      </w:r>
      <w:r w:rsidRPr="007A0D81">
        <w:rPr>
          <w:rFonts w:ascii="Arial" w:hAnsi="Arial" w:cs="Arial"/>
          <w:bCs/>
          <w:sz w:val="24"/>
          <w:szCs w:val="24"/>
        </w:rPr>
        <w:t xml:space="preserve">ribunales de </w:t>
      </w:r>
      <w:r w:rsidR="00DC0727">
        <w:rPr>
          <w:rFonts w:ascii="Arial" w:hAnsi="Arial" w:cs="Arial"/>
          <w:bCs/>
          <w:sz w:val="24"/>
          <w:szCs w:val="24"/>
        </w:rPr>
        <w:t>j</w:t>
      </w:r>
      <w:r w:rsidRPr="007A0D81">
        <w:rPr>
          <w:rFonts w:ascii="Arial" w:hAnsi="Arial" w:cs="Arial"/>
          <w:bCs/>
          <w:sz w:val="24"/>
          <w:szCs w:val="24"/>
        </w:rPr>
        <w:t xml:space="preserve">usticia </w:t>
      </w:r>
      <w:r w:rsidR="00DC0727">
        <w:rPr>
          <w:rFonts w:ascii="Arial" w:hAnsi="Arial" w:cs="Arial"/>
          <w:bCs/>
          <w:sz w:val="24"/>
          <w:szCs w:val="24"/>
        </w:rPr>
        <w:t>a</w:t>
      </w:r>
      <w:r w:rsidRPr="007A0D81">
        <w:rPr>
          <w:rFonts w:ascii="Arial" w:hAnsi="Arial" w:cs="Arial"/>
          <w:bCs/>
          <w:sz w:val="24"/>
          <w:szCs w:val="24"/>
        </w:rPr>
        <w:t xml:space="preserve">dministrativa, dotados de plena autonomía para dictar sus fallos y establecer su organización, funcionamiento, procedimientos y, en su caso, recursos contra sus resoluciones. </w:t>
      </w:r>
    </w:p>
    <w:p w14:paraId="0A0BFF88" w14:textId="3ADFCA64" w:rsidR="00DE50C5" w:rsidRPr="007A0D81" w:rsidRDefault="00DE50C5" w:rsidP="00B5595F">
      <w:pPr>
        <w:spacing w:before="100" w:beforeAutospacing="1" w:after="100" w:afterAutospacing="1" w:line="360" w:lineRule="auto"/>
        <w:jc w:val="both"/>
        <w:rPr>
          <w:rFonts w:ascii="Arial" w:hAnsi="Arial" w:cs="Arial"/>
          <w:sz w:val="24"/>
          <w:szCs w:val="24"/>
        </w:rPr>
      </w:pPr>
      <w:r w:rsidRPr="007A0D81">
        <w:rPr>
          <w:rFonts w:ascii="Arial" w:hAnsi="Arial" w:cs="Arial"/>
          <w:b/>
          <w:bCs/>
          <w:sz w:val="24"/>
          <w:szCs w:val="24"/>
        </w:rPr>
        <w:t>II.</w:t>
      </w:r>
      <w:r w:rsidR="0078202F">
        <w:rPr>
          <w:rFonts w:ascii="Arial" w:hAnsi="Arial" w:cs="Arial"/>
          <w:b/>
          <w:bCs/>
          <w:sz w:val="24"/>
          <w:szCs w:val="24"/>
        </w:rPr>
        <w:t xml:space="preserve"> Naturaleza jurídica del Tribunal Estatal de Justicia Administrativa.</w:t>
      </w:r>
      <w:r w:rsidRPr="007A0D81">
        <w:rPr>
          <w:rFonts w:ascii="Arial" w:hAnsi="Arial" w:cs="Arial"/>
          <w:b/>
          <w:bCs/>
          <w:sz w:val="24"/>
          <w:szCs w:val="24"/>
        </w:rPr>
        <w:t xml:space="preserve"> </w:t>
      </w:r>
      <w:r w:rsidRPr="007A0D81">
        <w:rPr>
          <w:rFonts w:ascii="Arial" w:hAnsi="Arial" w:cs="Arial"/>
          <w:sz w:val="24"/>
          <w:szCs w:val="24"/>
        </w:rPr>
        <w:t>En correspondencia, los artículos 39 bis de la Constitución Política del Estado de Chihuahua y 1 de la Ley Orgánica del Tribunal Estatal de Justicia Administrativa</w:t>
      </w:r>
      <w:r w:rsidR="0092039D">
        <w:rPr>
          <w:rFonts w:ascii="Arial" w:hAnsi="Arial" w:cs="Arial"/>
          <w:sz w:val="24"/>
          <w:szCs w:val="24"/>
        </w:rPr>
        <w:t>,</w:t>
      </w:r>
      <w:r w:rsidRPr="007A0D81">
        <w:rPr>
          <w:rFonts w:ascii="Arial" w:hAnsi="Arial" w:cs="Arial"/>
          <w:sz w:val="24"/>
          <w:szCs w:val="24"/>
        </w:rPr>
        <w:t xml:space="preserve"> señalan que este Tribunal es el órgano jurisdiccional dotado de plena autonomía para dictar sus fallos, encargado de dirimir las controversias que se susciten entre los particulares y la administración pública, estatal y municipal; imponer las sanciones a las y los servidores públicos estatales y municipales por responsabilidad administrativa grave y a los particulares que incurran en actos vinculados con faltas administrativas graves; así como fincar a los responsables el pago de las indemnizaciones y sanciones pecuniarias que deriven de los daños y </w:t>
      </w:r>
      <w:r w:rsidRPr="007A0D81">
        <w:rPr>
          <w:rFonts w:ascii="Arial" w:hAnsi="Arial" w:cs="Arial"/>
          <w:sz w:val="24"/>
          <w:szCs w:val="24"/>
        </w:rPr>
        <w:lastRenderedPageBreak/>
        <w:t>perjuicios que afecten a la hacienda pública estatal o municipal o al patrimonio de los entes públicos estatales o municipales.</w:t>
      </w:r>
    </w:p>
    <w:p w14:paraId="3BF11378" w14:textId="3622F978" w:rsidR="00F64946" w:rsidRDefault="00DE50C5" w:rsidP="00B5595F">
      <w:pPr>
        <w:spacing w:before="100" w:beforeAutospacing="1" w:after="100" w:afterAutospacing="1" w:line="360" w:lineRule="auto"/>
        <w:jc w:val="both"/>
        <w:rPr>
          <w:rFonts w:ascii="Arial" w:hAnsi="Arial" w:cs="Arial"/>
          <w:sz w:val="24"/>
          <w:szCs w:val="24"/>
        </w:rPr>
      </w:pPr>
      <w:r w:rsidRPr="007A0D81">
        <w:rPr>
          <w:rFonts w:ascii="Arial" w:hAnsi="Arial" w:cs="Arial"/>
          <w:sz w:val="24"/>
          <w:szCs w:val="24"/>
        </w:rPr>
        <w:t>Asimismo, instruye que será en la ley donde se establecerá su organización, funcionamiento, integración, procedimientos y, en su caso, recursos contra sus resoluciones.</w:t>
      </w:r>
    </w:p>
    <w:p w14:paraId="23E19079" w14:textId="76C94D94" w:rsidR="0064295E" w:rsidRPr="005F4C4A" w:rsidRDefault="00F64946" w:rsidP="005F4C4A">
      <w:pPr>
        <w:spacing w:after="0" w:line="360" w:lineRule="auto"/>
        <w:jc w:val="both"/>
        <w:rPr>
          <w:rFonts w:ascii="Arial" w:hAnsi="Arial" w:cs="Arial"/>
          <w:sz w:val="24"/>
          <w:szCs w:val="24"/>
        </w:rPr>
      </w:pPr>
      <w:r w:rsidRPr="00F64946">
        <w:rPr>
          <w:rFonts w:ascii="Arial" w:hAnsi="Arial" w:cs="Arial"/>
          <w:b/>
          <w:bCs/>
          <w:sz w:val="24"/>
          <w:szCs w:val="24"/>
        </w:rPr>
        <w:t>III.</w:t>
      </w:r>
      <w:r w:rsidR="0078202F">
        <w:rPr>
          <w:rFonts w:ascii="Arial" w:hAnsi="Arial" w:cs="Arial"/>
          <w:b/>
          <w:bCs/>
          <w:sz w:val="24"/>
          <w:szCs w:val="24"/>
        </w:rPr>
        <w:t xml:space="preserve"> Integración del Tribunal Estatal de Justicia Administrativa.</w:t>
      </w:r>
      <w:r>
        <w:rPr>
          <w:rFonts w:ascii="Arial" w:hAnsi="Arial" w:cs="Arial"/>
          <w:sz w:val="24"/>
          <w:szCs w:val="24"/>
        </w:rPr>
        <w:t xml:space="preserve"> </w:t>
      </w:r>
      <w:r w:rsidR="0064295E" w:rsidRPr="0064295E">
        <w:rPr>
          <w:rFonts w:ascii="Arial" w:hAnsi="Arial" w:cs="Arial"/>
          <w:sz w:val="24"/>
          <w:szCs w:val="24"/>
        </w:rPr>
        <w:t xml:space="preserve">El artículo 6 de la Ley </w:t>
      </w:r>
      <w:r w:rsidR="0064295E" w:rsidRPr="005F4C4A">
        <w:rPr>
          <w:rFonts w:ascii="Arial" w:hAnsi="Arial" w:cs="Arial"/>
          <w:sz w:val="24"/>
          <w:szCs w:val="24"/>
        </w:rPr>
        <w:t>Orgánica del Tribunal Estatal de Justicia Administrativa establece la estructura de este órgano jurisdiccional, conformado por cinco Magistraturas, mismas que integran el Pleno, una de las personas titulares de estas lo presidirá y cada una de las Salas Unitarias estará conformada por una magistratura designada por el Pleno.</w:t>
      </w:r>
    </w:p>
    <w:p w14:paraId="4113C47F" w14:textId="77777777" w:rsidR="00DE50C5" w:rsidRPr="005F4C4A" w:rsidRDefault="00DE50C5" w:rsidP="005F4C4A">
      <w:pPr>
        <w:spacing w:after="0" w:line="360" w:lineRule="auto"/>
        <w:jc w:val="both"/>
        <w:rPr>
          <w:rFonts w:ascii="Arial" w:hAnsi="Arial" w:cs="Arial"/>
          <w:sz w:val="24"/>
          <w:szCs w:val="24"/>
        </w:rPr>
      </w:pPr>
    </w:p>
    <w:p w14:paraId="718CE58C" w14:textId="01D17C01" w:rsidR="005F4C4A" w:rsidRPr="005F4C4A" w:rsidRDefault="003F4F40" w:rsidP="005F4C4A">
      <w:pPr>
        <w:spacing w:line="360" w:lineRule="auto"/>
        <w:jc w:val="both"/>
        <w:rPr>
          <w:rFonts w:ascii="Arial" w:hAnsi="Arial" w:cs="Arial"/>
          <w:bCs/>
          <w:sz w:val="24"/>
          <w:szCs w:val="24"/>
          <w:lang w:val="es-MX"/>
        </w:rPr>
      </w:pPr>
      <w:r w:rsidRPr="005F4C4A">
        <w:rPr>
          <w:rFonts w:ascii="Arial" w:hAnsi="Arial" w:cs="Arial"/>
          <w:b/>
          <w:sz w:val="24"/>
          <w:szCs w:val="24"/>
        </w:rPr>
        <w:t>I</w:t>
      </w:r>
      <w:r w:rsidR="00083C9F" w:rsidRPr="005F4C4A">
        <w:rPr>
          <w:rFonts w:ascii="Arial" w:hAnsi="Arial" w:cs="Arial"/>
          <w:b/>
          <w:sz w:val="24"/>
          <w:szCs w:val="24"/>
        </w:rPr>
        <w:t>V.</w:t>
      </w:r>
      <w:r w:rsidR="0089079C" w:rsidRPr="005F4C4A">
        <w:rPr>
          <w:rFonts w:ascii="Arial" w:hAnsi="Arial" w:cs="Arial"/>
          <w:b/>
          <w:sz w:val="24"/>
          <w:szCs w:val="24"/>
        </w:rPr>
        <w:t xml:space="preserve"> </w:t>
      </w:r>
      <w:r w:rsidR="005F4C4A" w:rsidRPr="005F4C4A">
        <w:rPr>
          <w:rFonts w:ascii="Arial" w:hAnsi="Arial" w:cs="Arial"/>
          <w:b/>
          <w:bCs/>
          <w:sz w:val="24"/>
          <w:szCs w:val="24"/>
          <w:lang w:val="es-MX"/>
        </w:rPr>
        <w:t>Facultades del Pleno.</w:t>
      </w:r>
      <w:r w:rsidR="005F4C4A" w:rsidRPr="005F4C4A">
        <w:rPr>
          <w:rFonts w:ascii="Arial" w:hAnsi="Arial" w:cs="Arial"/>
          <w:b/>
          <w:sz w:val="24"/>
          <w:szCs w:val="24"/>
          <w:lang w:val="es-MX"/>
        </w:rPr>
        <w:t xml:space="preserve"> </w:t>
      </w:r>
      <w:r w:rsidR="005F4C4A" w:rsidRPr="005F4C4A">
        <w:rPr>
          <w:rFonts w:ascii="Arial" w:hAnsi="Arial" w:cs="Arial"/>
          <w:bCs/>
          <w:sz w:val="24"/>
          <w:szCs w:val="24"/>
          <w:lang w:val="es-MX"/>
        </w:rPr>
        <w:t>El artículo 9 de la Ley Orgánica del Tribunal Estatal de Justicia Administrativa indica que el Pleno se integrará por la totalidad de las magistraturas y, de conformidad con sus fracciones XVII, XXV, XXVIII, XXXII y XXXV, entre las facultades de dicho órgano máximo, se encuentran las siguientes: </w:t>
      </w:r>
    </w:p>
    <w:p w14:paraId="454F2EAF" w14:textId="20EEF03D" w:rsidR="005F4C4A" w:rsidRPr="005F4C4A" w:rsidRDefault="005F4C4A" w:rsidP="005F4C4A">
      <w:pPr>
        <w:spacing w:after="0" w:line="360" w:lineRule="auto"/>
        <w:jc w:val="both"/>
        <w:rPr>
          <w:rFonts w:ascii="Arial" w:hAnsi="Arial" w:cs="Arial"/>
          <w:b/>
          <w:sz w:val="24"/>
          <w:szCs w:val="24"/>
          <w:lang w:val="es-MX"/>
        </w:rPr>
      </w:pPr>
    </w:p>
    <w:p w14:paraId="09BECF1D" w14:textId="77777777" w:rsidR="005F4C4A" w:rsidRPr="005F4C4A" w:rsidRDefault="005F4C4A" w:rsidP="005F4C4A">
      <w:pPr>
        <w:numPr>
          <w:ilvl w:val="0"/>
          <w:numId w:val="9"/>
        </w:numPr>
        <w:spacing w:after="0" w:line="360" w:lineRule="auto"/>
        <w:ind w:left="708"/>
        <w:jc w:val="both"/>
        <w:rPr>
          <w:rFonts w:ascii="Arial" w:hAnsi="Arial" w:cs="Arial"/>
          <w:bCs/>
          <w:sz w:val="24"/>
          <w:szCs w:val="24"/>
          <w:lang w:val="es-MX"/>
        </w:rPr>
      </w:pPr>
      <w:r w:rsidRPr="005F4C4A">
        <w:rPr>
          <w:rFonts w:ascii="Arial" w:hAnsi="Arial" w:cs="Arial"/>
          <w:bCs/>
          <w:sz w:val="24"/>
          <w:szCs w:val="24"/>
          <w:lang w:val="es-MX"/>
        </w:rPr>
        <w:t>Dirigir las labores de este órgano jurisdiccional, dictando las medidas necesarias para el despacho pronto y expedito de sus asuntos administrativos; </w:t>
      </w:r>
    </w:p>
    <w:p w14:paraId="781C2F59" w14:textId="77777777" w:rsidR="005F4C4A" w:rsidRPr="005F4C4A" w:rsidRDefault="005F4C4A" w:rsidP="005F4C4A">
      <w:pPr>
        <w:numPr>
          <w:ilvl w:val="0"/>
          <w:numId w:val="10"/>
        </w:numPr>
        <w:spacing w:after="0" w:line="360" w:lineRule="auto"/>
        <w:ind w:left="708"/>
        <w:jc w:val="both"/>
        <w:rPr>
          <w:rFonts w:ascii="Arial" w:hAnsi="Arial" w:cs="Arial"/>
          <w:bCs/>
          <w:sz w:val="24"/>
          <w:szCs w:val="24"/>
          <w:lang w:val="es-MX"/>
        </w:rPr>
      </w:pPr>
      <w:r w:rsidRPr="005F4C4A">
        <w:rPr>
          <w:rFonts w:ascii="Arial" w:hAnsi="Arial" w:cs="Arial"/>
          <w:bCs/>
          <w:sz w:val="24"/>
          <w:szCs w:val="24"/>
          <w:lang w:val="es-MX"/>
        </w:rPr>
        <w:t>Expedir los acuerdos necesarios para el buen funcionamiento de este órgano jurisdiccional;</w:t>
      </w:r>
    </w:p>
    <w:p w14:paraId="6C5162CA" w14:textId="77777777" w:rsidR="005F4C4A" w:rsidRPr="005F4C4A" w:rsidRDefault="005F4C4A" w:rsidP="005F4C4A">
      <w:pPr>
        <w:numPr>
          <w:ilvl w:val="0"/>
          <w:numId w:val="11"/>
        </w:numPr>
        <w:spacing w:after="0" w:line="360" w:lineRule="auto"/>
        <w:ind w:left="708"/>
        <w:jc w:val="both"/>
        <w:rPr>
          <w:rFonts w:ascii="Arial" w:hAnsi="Arial" w:cs="Arial"/>
          <w:bCs/>
          <w:sz w:val="24"/>
          <w:szCs w:val="24"/>
          <w:lang w:val="es-MX"/>
        </w:rPr>
      </w:pPr>
      <w:r w:rsidRPr="005F4C4A">
        <w:rPr>
          <w:rFonts w:ascii="Arial" w:hAnsi="Arial" w:cs="Arial"/>
          <w:bCs/>
          <w:sz w:val="24"/>
          <w:szCs w:val="24"/>
          <w:lang w:val="es-MX"/>
        </w:rPr>
        <w:t>Establecer, de acuerdo con su competencia, los criterios relevantes en casos de ambigüedad de la Ley;</w:t>
      </w:r>
    </w:p>
    <w:p w14:paraId="0947CA29" w14:textId="77777777" w:rsidR="005F4C4A" w:rsidRPr="005F4C4A" w:rsidRDefault="005F4C4A" w:rsidP="005F4C4A">
      <w:pPr>
        <w:numPr>
          <w:ilvl w:val="0"/>
          <w:numId w:val="12"/>
        </w:numPr>
        <w:spacing w:after="0" w:line="360" w:lineRule="auto"/>
        <w:ind w:left="708"/>
        <w:jc w:val="both"/>
        <w:rPr>
          <w:rFonts w:ascii="Arial" w:hAnsi="Arial" w:cs="Arial"/>
          <w:bCs/>
          <w:sz w:val="24"/>
          <w:szCs w:val="24"/>
          <w:lang w:val="es-MX"/>
        </w:rPr>
      </w:pPr>
      <w:r w:rsidRPr="005F4C4A">
        <w:rPr>
          <w:rFonts w:ascii="Arial" w:hAnsi="Arial" w:cs="Arial"/>
          <w:bCs/>
          <w:sz w:val="24"/>
          <w:szCs w:val="24"/>
          <w:lang w:val="es-MX"/>
        </w:rPr>
        <w:t>Emitir las medidas necesarias para garantizar los principios de la función que les ha sido encomendada; y</w:t>
      </w:r>
    </w:p>
    <w:p w14:paraId="2223343A" w14:textId="77777777" w:rsidR="005F4C4A" w:rsidRPr="005F4C4A" w:rsidRDefault="005F4C4A" w:rsidP="005F4C4A">
      <w:pPr>
        <w:numPr>
          <w:ilvl w:val="0"/>
          <w:numId w:val="13"/>
        </w:numPr>
        <w:spacing w:after="0" w:line="360" w:lineRule="auto"/>
        <w:ind w:left="708"/>
        <w:jc w:val="both"/>
        <w:rPr>
          <w:rFonts w:ascii="Arial" w:hAnsi="Arial" w:cs="Arial"/>
          <w:bCs/>
          <w:sz w:val="24"/>
          <w:szCs w:val="24"/>
          <w:lang w:val="es-MX"/>
        </w:rPr>
      </w:pPr>
      <w:r w:rsidRPr="005F4C4A">
        <w:rPr>
          <w:rFonts w:ascii="Arial" w:hAnsi="Arial" w:cs="Arial"/>
          <w:bCs/>
          <w:sz w:val="24"/>
          <w:szCs w:val="24"/>
          <w:lang w:val="es-MX"/>
        </w:rPr>
        <w:t>Las demás que establezca la ley y las disposiciones aplicables.</w:t>
      </w:r>
    </w:p>
    <w:p w14:paraId="2E973545" w14:textId="3B976ACA" w:rsidR="003D7FE4" w:rsidRPr="005F4C4A" w:rsidRDefault="003D7FE4" w:rsidP="005F4C4A">
      <w:pPr>
        <w:spacing w:after="0" w:line="360" w:lineRule="auto"/>
        <w:jc w:val="both"/>
        <w:rPr>
          <w:rFonts w:ascii="Arial" w:hAnsi="Arial" w:cs="Arial"/>
          <w:bCs/>
          <w:sz w:val="24"/>
          <w:szCs w:val="24"/>
        </w:rPr>
      </w:pPr>
    </w:p>
    <w:p w14:paraId="7C343F03" w14:textId="77777777" w:rsidR="00B811BA" w:rsidRPr="005F4C4A" w:rsidRDefault="00B811BA" w:rsidP="005F4C4A">
      <w:pPr>
        <w:spacing w:after="0" w:line="360" w:lineRule="auto"/>
        <w:jc w:val="both"/>
        <w:rPr>
          <w:rFonts w:ascii="Arial" w:hAnsi="Arial" w:cs="Arial"/>
          <w:b/>
          <w:sz w:val="24"/>
          <w:szCs w:val="24"/>
        </w:rPr>
      </w:pPr>
    </w:p>
    <w:p w14:paraId="5C32E465" w14:textId="3288EEB4" w:rsidR="007039DE" w:rsidRPr="005F4C4A" w:rsidRDefault="000A0E44" w:rsidP="005F4C4A">
      <w:pPr>
        <w:spacing w:before="100" w:beforeAutospacing="1" w:after="100" w:afterAutospacing="1" w:line="360" w:lineRule="auto"/>
        <w:jc w:val="both"/>
        <w:rPr>
          <w:rFonts w:ascii="Arial" w:hAnsi="Arial" w:cs="Arial"/>
          <w:b/>
          <w:sz w:val="24"/>
          <w:szCs w:val="24"/>
        </w:rPr>
      </w:pPr>
      <w:r w:rsidRPr="005F4C4A">
        <w:rPr>
          <w:rFonts w:ascii="Arial" w:hAnsi="Arial" w:cs="Arial"/>
          <w:b/>
          <w:sz w:val="24"/>
          <w:szCs w:val="24"/>
        </w:rPr>
        <w:lastRenderedPageBreak/>
        <w:t>V</w:t>
      </w:r>
      <w:r w:rsidR="007039DE" w:rsidRPr="005F4C4A">
        <w:rPr>
          <w:rFonts w:ascii="Arial" w:hAnsi="Arial" w:cs="Arial"/>
          <w:b/>
          <w:sz w:val="24"/>
          <w:szCs w:val="24"/>
        </w:rPr>
        <w:t>. Antecedentes.</w:t>
      </w:r>
    </w:p>
    <w:p w14:paraId="347B7C57" w14:textId="77777777" w:rsidR="005F4C4A" w:rsidRDefault="005F4C4A" w:rsidP="005F4C4A">
      <w:pPr>
        <w:spacing w:before="100" w:beforeAutospacing="1" w:after="100" w:afterAutospacing="1" w:line="360" w:lineRule="auto"/>
        <w:ind w:firstLine="709"/>
        <w:jc w:val="both"/>
        <w:rPr>
          <w:rFonts w:ascii="Arial" w:hAnsi="Arial" w:cs="Arial"/>
          <w:bCs/>
          <w:sz w:val="24"/>
          <w:szCs w:val="24"/>
          <w:lang w:val="es-MX"/>
        </w:rPr>
      </w:pPr>
      <w:r w:rsidRPr="005F4C4A">
        <w:rPr>
          <w:rFonts w:ascii="Arial" w:hAnsi="Arial" w:cs="Arial"/>
          <w:b/>
          <w:bCs/>
          <w:sz w:val="24"/>
          <w:szCs w:val="24"/>
          <w:lang w:val="es-MX"/>
        </w:rPr>
        <w:t>a)</w:t>
      </w:r>
      <w:r w:rsidRPr="005F4C4A">
        <w:rPr>
          <w:rFonts w:ascii="Arial" w:hAnsi="Arial" w:cs="Arial"/>
          <w:b/>
          <w:sz w:val="24"/>
          <w:szCs w:val="24"/>
          <w:lang w:val="es-MX"/>
        </w:rPr>
        <w:t xml:space="preserve"> </w:t>
      </w:r>
      <w:r w:rsidRPr="005F4C4A">
        <w:rPr>
          <w:rFonts w:ascii="Arial" w:hAnsi="Arial" w:cs="Arial"/>
          <w:bCs/>
          <w:sz w:val="24"/>
          <w:szCs w:val="24"/>
          <w:lang w:val="es-MX"/>
        </w:rPr>
        <w:t>Mediante oficio TEJA/S4/42/2025-A recibido en la Secretaría General del Tribunal el veintidós de mayo de dos mil veinticinco, la magistratura titular de la Cuarta Sala Unitaria Especializada en Materia de Responsabilidades Administrativas planteó la necesidad de que el Pleno, en ejercicio de la atribución que establece el artículo 9, fracción XXVIII, de la Ley Orgánica del Tribunal Estatal de Justicia Administrativa, emit</w:t>
      </w:r>
      <w:r>
        <w:rPr>
          <w:rFonts w:ascii="Arial" w:hAnsi="Arial" w:cs="Arial"/>
          <w:bCs/>
          <w:sz w:val="24"/>
          <w:szCs w:val="24"/>
          <w:lang w:val="es-MX"/>
        </w:rPr>
        <w:t>iera</w:t>
      </w:r>
      <w:r w:rsidRPr="005F4C4A">
        <w:rPr>
          <w:rFonts w:ascii="Arial" w:hAnsi="Arial" w:cs="Arial"/>
          <w:bCs/>
          <w:sz w:val="24"/>
          <w:szCs w:val="24"/>
          <w:lang w:val="es-MX"/>
        </w:rPr>
        <w:t xml:space="preserve"> un criterio interpretativo sobre el contenido de la fracción IV, del artículo 200 de la Ley General de Responsabilidades Administrativas, el cual indica que las constancias que integren los expedientes en dicha materia, deberán ser foliadas, selladas y rubricadas en orden progresivo.</w:t>
      </w:r>
    </w:p>
    <w:p w14:paraId="36663ED6" w14:textId="0CCABDB9" w:rsidR="005F4C4A" w:rsidRDefault="005F4C4A" w:rsidP="005F4C4A">
      <w:pPr>
        <w:spacing w:before="100" w:beforeAutospacing="1" w:after="100" w:afterAutospacing="1" w:line="360" w:lineRule="auto"/>
        <w:ind w:firstLine="709"/>
        <w:jc w:val="both"/>
        <w:rPr>
          <w:rFonts w:ascii="Arial" w:hAnsi="Arial" w:cs="Arial"/>
          <w:bCs/>
          <w:sz w:val="24"/>
          <w:szCs w:val="24"/>
          <w:lang w:val="es-MX"/>
        </w:rPr>
      </w:pPr>
      <w:r>
        <w:rPr>
          <w:rFonts w:ascii="Arial" w:hAnsi="Arial" w:cs="Arial"/>
          <w:bCs/>
          <w:sz w:val="24"/>
          <w:szCs w:val="24"/>
          <w:lang w:val="es-MX"/>
        </w:rPr>
        <w:t>E</w:t>
      </w:r>
      <w:r w:rsidRPr="005F4C4A">
        <w:rPr>
          <w:rFonts w:ascii="Arial" w:hAnsi="Arial" w:cs="Arial"/>
          <w:bCs/>
          <w:sz w:val="24"/>
          <w:szCs w:val="24"/>
          <w:lang w:val="es-MX"/>
        </w:rPr>
        <w:t>l numeral en cita, indica que las constancias que integran los expedientes deben ser foliadas, selladas y rubricadas en orden progresivo, redacción que, dada la naturaleza y la pluralidad de autoridades que intervienen en el procedimiento de responsabilidades o en la resolución de los recursos indicados en la Ley General referida, se considera ambigua e imprecisa.</w:t>
      </w:r>
    </w:p>
    <w:p w14:paraId="5EBEFCBE" w14:textId="5EA681B4" w:rsidR="00E72E16" w:rsidRDefault="00E72E16" w:rsidP="005F4C4A">
      <w:pPr>
        <w:spacing w:before="100" w:beforeAutospacing="1" w:after="100" w:afterAutospacing="1" w:line="360" w:lineRule="auto"/>
        <w:ind w:firstLine="709"/>
        <w:jc w:val="both"/>
        <w:rPr>
          <w:rFonts w:ascii="Arial" w:hAnsi="Arial" w:cs="Arial"/>
          <w:sz w:val="24"/>
          <w:szCs w:val="24"/>
        </w:rPr>
      </w:pPr>
      <w:r w:rsidRPr="00E72E16">
        <w:rPr>
          <w:rFonts w:ascii="Arial" w:hAnsi="Arial" w:cs="Arial"/>
          <w:b/>
          <w:sz w:val="24"/>
          <w:szCs w:val="24"/>
          <w:lang w:val="es-MX"/>
        </w:rPr>
        <w:t>b)</w:t>
      </w:r>
      <w:r>
        <w:rPr>
          <w:rFonts w:ascii="Arial" w:hAnsi="Arial" w:cs="Arial"/>
          <w:b/>
          <w:sz w:val="24"/>
          <w:szCs w:val="24"/>
          <w:lang w:val="es-MX"/>
        </w:rPr>
        <w:t xml:space="preserve"> </w:t>
      </w:r>
      <w:r>
        <w:rPr>
          <w:rFonts w:ascii="Arial" w:hAnsi="Arial" w:cs="Arial"/>
          <w:bCs/>
          <w:sz w:val="24"/>
          <w:szCs w:val="24"/>
          <w:lang w:val="es-MX"/>
        </w:rPr>
        <w:t xml:space="preserve">Mediante </w:t>
      </w:r>
      <w:r w:rsidRPr="00E72E16">
        <w:rPr>
          <w:rFonts w:ascii="Arial" w:hAnsi="Arial" w:cs="Arial"/>
          <w:bCs/>
          <w:sz w:val="24"/>
          <w:szCs w:val="24"/>
          <w:lang w:val="es-MX"/>
        </w:rPr>
        <w:t xml:space="preserve">sesión jurisdiccional celebrada el quince de julio de dos mil veinticinco, </w:t>
      </w:r>
      <w:r w:rsidR="00CE1AAD">
        <w:rPr>
          <w:rFonts w:ascii="Arial" w:hAnsi="Arial" w:cs="Arial"/>
          <w:bCs/>
          <w:sz w:val="24"/>
          <w:szCs w:val="24"/>
          <w:lang w:val="es-MX"/>
        </w:rPr>
        <w:t>virtud a la propuesta realizada por</w:t>
      </w:r>
      <w:r w:rsidR="00CE1AAD" w:rsidRPr="00CE1AAD">
        <w:rPr>
          <w:rFonts w:ascii="Arial" w:hAnsi="Arial" w:cs="Arial"/>
          <w:bCs/>
          <w:sz w:val="24"/>
          <w:szCs w:val="24"/>
          <w:lang w:val="es-MX"/>
        </w:rPr>
        <w:t xml:space="preserve"> </w:t>
      </w:r>
      <w:r w:rsidR="00CE1AAD" w:rsidRPr="005F4C4A">
        <w:rPr>
          <w:rFonts w:ascii="Arial" w:hAnsi="Arial" w:cs="Arial"/>
          <w:bCs/>
          <w:sz w:val="24"/>
          <w:szCs w:val="24"/>
          <w:lang w:val="es-MX"/>
        </w:rPr>
        <w:t>la magistratura titular de la Cuarta Sala Unitaria Especializada en Materia de Responsabilidades Administrativas</w:t>
      </w:r>
      <w:r w:rsidR="00CE1AAD">
        <w:rPr>
          <w:rFonts w:ascii="Arial" w:hAnsi="Arial" w:cs="Arial"/>
          <w:bCs/>
          <w:sz w:val="24"/>
          <w:szCs w:val="24"/>
          <w:lang w:val="es-MX"/>
        </w:rPr>
        <w:t xml:space="preserve">, </w:t>
      </w:r>
      <w:r w:rsidRPr="00E72E16">
        <w:rPr>
          <w:rFonts w:ascii="Arial" w:hAnsi="Arial" w:cs="Arial"/>
          <w:bCs/>
          <w:sz w:val="24"/>
          <w:szCs w:val="24"/>
          <w:lang w:val="es-MX"/>
        </w:rPr>
        <w:t>se determinó</w:t>
      </w:r>
      <w:r w:rsidR="00CE1AAD">
        <w:rPr>
          <w:rFonts w:ascii="Arial" w:hAnsi="Arial" w:cs="Arial"/>
          <w:bCs/>
          <w:sz w:val="24"/>
          <w:szCs w:val="24"/>
          <w:lang w:val="es-MX"/>
        </w:rPr>
        <w:t xml:space="preserve"> que si bien no era procedente emitir un criterio interpretativo en los términos solicitados, sí resultaba necesario</w:t>
      </w:r>
      <w:r w:rsidRPr="00E72E16">
        <w:rPr>
          <w:rFonts w:ascii="Arial" w:hAnsi="Arial" w:cs="Arial"/>
          <w:bCs/>
          <w:sz w:val="24"/>
          <w:szCs w:val="24"/>
          <w:lang w:val="es-MX"/>
        </w:rPr>
        <w:t xml:space="preserve"> emitir un instrumento normativo </w:t>
      </w:r>
      <w:r w:rsidRPr="00E72E16">
        <w:rPr>
          <w:rFonts w:ascii="Arial" w:hAnsi="Arial" w:cs="Arial"/>
          <w:sz w:val="24"/>
          <w:szCs w:val="24"/>
        </w:rPr>
        <w:t>relativo a la integración de expedientes</w:t>
      </w:r>
      <w:r>
        <w:rPr>
          <w:rFonts w:ascii="Arial" w:hAnsi="Arial" w:cs="Arial"/>
          <w:sz w:val="24"/>
          <w:szCs w:val="24"/>
        </w:rPr>
        <w:t xml:space="preserve"> de este Tribunal</w:t>
      </w:r>
      <w:r w:rsidR="00CE1AAD">
        <w:rPr>
          <w:rFonts w:ascii="Arial" w:hAnsi="Arial" w:cs="Arial"/>
          <w:sz w:val="24"/>
          <w:szCs w:val="24"/>
        </w:rPr>
        <w:t>; por lo que</w:t>
      </w:r>
      <w:r>
        <w:rPr>
          <w:rFonts w:ascii="Arial" w:hAnsi="Arial" w:cs="Arial"/>
          <w:sz w:val="24"/>
          <w:szCs w:val="24"/>
        </w:rPr>
        <w:t xml:space="preserve"> se fijó un plazo de 180 días naturales, para efecto de emitir un acuerdo por parte del Pleno en el que se establecieran los lineamientos de archivo y de conservación de expedientes, así como el tema de foliación y sellado, tanto en materia contencioso administrativo, como en materia de responsabilidades administrativas.</w:t>
      </w:r>
    </w:p>
    <w:p w14:paraId="355A9E2D" w14:textId="1237F529" w:rsidR="00F07D97" w:rsidRDefault="00F07D97" w:rsidP="00D9336D">
      <w:pPr>
        <w:spacing w:before="100" w:beforeAutospacing="1" w:after="100" w:afterAutospacing="1" w:line="360" w:lineRule="auto"/>
        <w:ind w:firstLine="709"/>
        <w:jc w:val="both"/>
        <w:rPr>
          <w:rFonts w:ascii="Arial" w:hAnsi="Arial" w:cs="Arial"/>
          <w:sz w:val="24"/>
          <w:szCs w:val="24"/>
          <w:lang w:val="es-MX"/>
        </w:rPr>
      </w:pPr>
      <w:r w:rsidRPr="005E68C3">
        <w:rPr>
          <w:rFonts w:ascii="Arial" w:hAnsi="Arial" w:cs="Arial"/>
          <w:b/>
          <w:bCs/>
          <w:sz w:val="24"/>
          <w:szCs w:val="24"/>
        </w:rPr>
        <w:t>c)</w:t>
      </w:r>
      <w:r>
        <w:rPr>
          <w:rFonts w:ascii="Arial" w:hAnsi="Arial" w:cs="Arial"/>
          <w:sz w:val="24"/>
          <w:szCs w:val="24"/>
        </w:rPr>
        <w:t xml:space="preserve"> Posteriormente, mediante Acuerdo Pleno 005/2026, aprobado en sesión de doce de enero de dos mil veintiséis, se determinó ampliar dicho plazo por </w:t>
      </w:r>
      <w:r w:rsidR="00D9336D">
        <w:rPr>
          <w:rFonts w:ascii="Arial" w:hAnsi="Arial" w:cs="Arial"/>
          <w:sz w:val="24"/>
          <w:szCs w:val="24"/>
        </w:rPr>
        <w:t>sesenta</w:t>
      </w:r>
      <w:r>
        <w:rPr>
          <w:rFonts w:ascii="Arial" w:hAnsi="Arial" w:cs="Arial"/>
          <w:sz w:val="24"/>
          <w:szCs w:val="24"/>
        </w:rPr>
        <w:t xml:space="preserve"> días naturales adicionales, fijándose nueva fecha de vencimiento el doce de marzo </w:t>
      </w:r>
      <w:r>
        <w:rPr>
          <w:rFonts w:ascii="Arial" w:hAnsi="Arial" w:cs="Arial"/>
          <w:sz w:val="24"/>
          <w:szCs w:val="24"/>
        </w:rPr>
        <w:lastRenderedPageBreak/>
        <w:t>del presente año</w:t>
      </w:r>
      <w:r w:rsidR="00D9336D">
        <w:rPr>
          <w:rFonts w:ascii="Arial" w:hAnsi="Arial" w:cs="Arial"/>
          <w:sz w:val="24"/>
          <w:szCs w:val="24"/>
        </w:rPr>
        <w:t>. De igual forma</w:t>
      </w:r>
      <w:r w:rsidR="00D9336D" w:rsidRPr="00D9336D">
        <w:t xml:space="preserve"> </w:t>
      </w:r>
      <w:r w:rsidR="00D9336D" w:rsidRPr="00D9336D">
        <w:rPr>
          <w:rFonts w:ascii="Arial" w:hAnsi="Arial" w:cs="Arial"/>
          <w:sz w:val="24"/>
          <w:szCs w:val="24"/>
        </w:rPr>
        <w:t>mediante Acuerdo Pleno 0</w:t>
      </w:r>
      <w:r w:rsidR="00D9336D">
        <w:rPr>
          <w:rFonts w:ascii="Arial" w:hAnsi="Arial" w:cs="Arial"/>
          <w:sz w:val="24"/>
          <w:szCs w:val="24"/>
        </w:rPr>
        <w:t>17</w:t>
      </w:r>
      <w:r w:rsidR="00D9336D" w:rsidRPr="00D9336D">
        <w:rPr>
          <w:rFonts w:ascii="Arial" w:hAnsi="Arial" w:cs="Arial"/>
          <w:sz w:val="24"/>
          <w:szCs w:val="24"/>
        </w:rPr>
        <w:t>/2026</w:t>
      </w:r>
      <w:r w:rsidR="00D9336D">
        <w:rPr>
          <w:rFonts w:ascii="Arial" w:hAnsi="Arial" w:cs="Arial"/>
          <w:sz w:val="24"/>
          <w:szCs w:val="24"/>
        </w:rPr>
        <w:t xml:space="preserve">, aprobado en sesión  se amplió nuevamente el plazo por noventa días adicionales y, toda vez actualmente </w:t>
      </w:r>
      <w:r>
        <w:rPr>
          <w:rFonts w:ascii="Arial" w:hAnsi="Arial" w:cs="Arial"/>
          <w:sz w:val="24"/>
          <w:szCs w:val="24"/>
          <w:lang w:val="es-MX"/>
        </w:rPr>
        <w:t xml:space="preserve">están siendo analizadas </w:t>
      </w:r>
      <w:r w:rsidR="00D9336D">
        <w:rPr>
          <w:rFonts w:ascii="Arial" w:hAnsi="Arial" w:cs="Arial"/>
          <w:sz w:val="24"/>
          <w:szCs w:val="24"/>
          <w:lang w:val="es-MX"/>
        </w:rPr>
        <w:t>las observaciones finales</w:t>
      </w:r>
      <w:r>
        <w:rPr>
          <w:rFonts w:ascii="Arial" w:hAnsi="Arial" w:cs="Arial"/>
          <w:sz w:val="24"/>
          <w:szCs w:val="24"/>
          <w:lang w:val="es-MX"/>
        </w:rPr>
        <w:t xml:space="preserve"> incorporadas a los proyectos, a efecto de fortalecer su contenido y asegurar su adecuada armonización normativa.</w:t>
      </w:r>
    </w:p>
    <w:p w14:paraId="34EE0F10" w14:textId="60BF5882" w:rsidR="00DE50C5" w:rsidRPr="00CE1AAD" w:rsidRDefault="00D73214" w:rsidP="00CE1AAD">
      <w:pPr>
        <w:spacing w:before="100" w:beforeAutospacing="1" w:after="100" w:afterAutospacing="1" w:line="360" w:lineRule="auto"/>
        <w:ind w:firstLine="709"/>
        <w:jc w:val="both"/>
        <w:rPr>
          <w:rFonts w:ascii="Arial" w:hAnsi="Arial" w:cs="Arial"/>
          <w:sz w:val="24"/>
          <w:szCs w:val="24"/>
          <w:lang w:val="es-MX"/>
        </w:rPr>
      </w:pPr>
      <w:r>
        <w:rPr>
          <w:rFonts w:ascii="Arial" w:hAnsi="Arial" w:cs="Arial"/>
          <w:sz w:val="24"/>
          <w:szCs w:val="24"/>
        </w:rPr>
        <w:t>En virtud de lo anterior</w:t>
      </w:r>
      <w:r w:rsidR="00CE1AAD">
        <w:rPr>
          <w:rFonts w:ascii="Arial" w:hAnsi="Arial" w:cs="Arial"/>
          <w:sz w:val="24"/>
          <w:szCs w:val="24"/>
        </w:rPr>
        <w:t xml:space="preserve">, </w:t>
      </w:r>
      <w:r w:rsidR="00DE50C5" w:rsidRPr="007A0D81">
        <w:rPr>
          <w:rFonts w:ascii="Arial" w:hAnsi="Arial" w:cs="Arial"/>
          <w:sz w:val="24"/>
          <w:szCs w:val="24"/>
        </w:rPr>
        <w:t xml:space="preserve">el Pleno del Tribunal Estatal de Justicia Administrativa emite </w:t>
      </w:r>
      <w:r w:rsidR="0072466B">
        <w:rPr>
          <w:rFonts w:ascii="Arial" w:hAnsi="Arial" w:cs="Arial"/>
          <w:sz w:val="24"/>
          <w:szCs w:val="24"/>
        </w:rPr>
        <w:t>los siguientes puntos de</w:t>
      </w:r>
    </w:p>
    <w:p w14:paraId="772435B3" w14:textId="77777777" w:rsidR="00A81818" w:rsidRDefault="00A81818" w:rsidP="00AD46E4">
      <w:pPr>
        <w:tabs>
          <w:tab w:val="left" w:pos="6480"/>
        </w:tabs>
        <w:spacing w:after="0" w:line="360" w:lineRule="auto"/>
        <w:jc w:val="center"/>
        <w:rPr>
          <w:rFonts w:ascii="Arial" w:hAnsi="Arial" w:cs="Arial"/>
          <w:b/>
          <w:sz w:val="24"/>
          <w:szCs w:val="24"/>
        </w:rPr>
      </w:pPr>
    </w:p>
    <w:p w14:paraId="6016E228" w14:textId="432CFC8D" w:rsidR="00323447" w:rsidRPr="00AD46E4" w:rsidRDefault="00DE50C5" w:rsidP="00AD46E4">
      <w:pPr>
        <w:tabs>
          <w:tab w:val="left" w:pos="6480"/>
        </w:tabs>
        <w:spacing w:after="0" w:line="360" w:lineRule="auto"/>
        <w:jc w:val="center"/>
        <w:rPr>
          <w:rFonts w:ascii="Arial" w:hAnsi="Arial" w:cs="Arial"/>
          <w:b/>
          <w:sz w:val="24"/>
          <w:szCs w:val="24"/>
        </w:rPr>
      </w:pPr>
      <w:bookmarkStart w:id="1" w:name="_Hlk213878361"/>
      <w:r w:rsidRPr="007A0D81">
        <w:rPr>
          <w:rFonts w:ascii="Arial" w:hAnsi="Arial" w:cs="Arial"/>
          <w:b/>
          <w:sz w:val="24"/>
          <w:szCs w:val="24"/>
        </w:rPr>
        <w:t>ACUERDO:</w:t>
      </w:r>
    </w:p>
    <w:p w14:paraId="35FC8855" w14:textId="77777777" w:rsidR="00323447" w:rsidRDefault="00323447" w:rsidP="0074317F">
      <w:pPr>
        <w:tabs>
          <w:tab w:val="left" w:pos="6480"/>
        </w:tabs>
        <w:spacing w:after="0" w:line="360" w:lineRule="auto"/>
        <w:ind w:firstLine="851"/>
        <w:jc w:val="both"/>
        <w:rPr>
          <w:rFonts w:ascii="Arial" w:hAnsi="Arial" w:cs="Arial"/>
          <w:b/>
          <w:bCs/>
          <w:sz w:val="24"/>
          <w:szCs w:val="24"/>
        </w:rPr>
      </w:pPr>
    </w:p>
    <w:bookmarkEnd w:id="1"/>
    <w:p w14:paraId="223D8459" w14:textId="77777777" w:rsidR="00692497" w:rsidRPr="00692497" w:rsidRDefault="00692497" w:rsidP="00692497">
      <w:pPr>
        <w:spacing w:line="360" w:lineRule="auto"/>
        <w:ind w:firstLine="709"/>
        <w:jc w:val="both"/>
        <w:rPr>
          <w:rFonts w:ascii="Arial" w:hAnsi="Arial" w:cs="Arial"/>
          <w:bCs/>
          <w:sz w:val="24"/>
          <w:szCs w:val="24"/>
        </w:rPr>
      </w:pPr>
      <w:r w:rsidRPr="00692497">
        <w:rPr>
          <w:rFonts w:ascii="Arial" w:hAnsi="Arial" w:cs="Arial"/>
          <w:b/>
          <w:sz w:val="24"/>
          <w:szCs w:val="24"/>
        </w:rPr>
        <w:t>ÚNICO</w:t>
      </w:r>
      <w:r w:rsidRPr="00692497">
        <w:rPr>
          <w:rFonts w:ascii="Arial" w:hAnsi="Arial" w:cs="Arial"/>
          <w:bCs/>
          <w:sz w:val="24"/>
          <w:szCs w:val="24"/>
        </w:rPr>
        <w:t xml:space="preserve">. Se amplía el plazo para la emisión del instrumento normativo en materia de archivos del Tribunal, por 60 días naturales adicionales, a partir del 10 de junio de 2026. </w:t>
      </w:r>
    </w:p>
    <w:p w14:paraId="048CDA22" w14:textId="203C90A4" w:rsidR="00DE50C5" w:rsidRPr="00F07D97" w:rsidRDefault="00DE50C5" w:rsidP="00C276C2">
      <w:pPr>
        <w:spacing w:line="360" w:lineRule="auto"/>
        <w:jc w:val="both"/>
        <w:rPr>
          <w:rFonts w:ascii="Arial" w:hAnsi="Arial" w:cs="Arial"/>
          <w:bCs/>
          <w:sz w:val="24"/>
          <w:szCs w:val="24"/>
        </w:rPr>
      </w:pPr>
      <w:r w:rsidRPr="00692497">
        <w:rPr>
          <w:rFonts w:ascii="Arial" w:eastAsia="Tahoma" w:hAnsi="Arial" w:cs="Arial"/>
          <w:b/>
          <w:sz w:val="24"/>
          <w:szCs w:val="24"/>
        </w:rPr>
        <w:t>NOTIFÍQUESE</w:t>
      </w:r>
      <w:r w:rsidRPr="00692497">
        <w:rPr>
          <w:rFonts w:ascii="Arial" w:eastAsia="Tahoma" w:hAnsi="Arial" w:cs="Arial"/>
          <w:sz w:val="24"/>
          <w:szCs w:val="24"/>
        </w:rPr>
        <w:t xml:space="preserve"> mediante su publicación en la lista de acuerdos del Pleno que se fija en los estrados del Tribunal</w:t>
      </w:r>
      <w:r w:rsidRPr="00CE1AAD">
        <w:rPr>
          <w:rFonts w:ascii="Arial" w:eastAsia="Tahoma" w:hAnsi="Arial" w:cs="Arial"/>
          <w:sz w:val="24"/>
          <w:szCs w:val="24"/>
        </w:rPr>
        <w:t xml:space="preserve"> para</w:t>
      </w:r>
      <w:r w:rsidRPr="007A0D81">
        <w:rPr>
          <w:rFonts w:ascii="Arial" w:eastAsia="Tahoma" w:hAnsi="Arial" w:cs="Arial"/>
          <w:sz w:val="24"/>
          <w:szCs w:val="24"/>
        </w:rPr>
        <w:t xml:space="preserve"> conocimiento general. </w:t>
      </w:r>
    </w:p>
    <w:p w14:paraId="2A9901BA" w14:textId="77777777" w:rsidR="00DE50C5" w:rsidRPr="007A6A1C" w:rsidRDefault="00DE50C5" w:rsidP="00DE50C5">
      <w:pPr>
        <w:pStyle w:val="Style2"/>
        <w:kinsoku w:val="0"/>
        <w:autoSpaceDE/>
        <w:autoSpaceDN/>
        <w:spacing w:before="0" w:line="360" w:lineRule="auto"/>
        <w:rPr>
          <w:rStyle w:val="CharacterStyle1"/>
          <w:rFonts w:eastAsia="Calibri"/>
          <w:sz w:val="26"/>
          <w:szCs w:val="26"/>
          <w:lang w:val="es-MX"/>
        </w:rPr>
      </w:pPr>
    </w:p>
    <w:p w14:paraId="26C4371A" w14:textId="10DF52EA" w:rsidR="00B72BA4" w:rsidRPr="00EB4EFA" w:rsidRDefault="00B72BA4" w:rsidP="00B72BA4">
      <w:pPr>
        <w:spacing w:after="0" w:line="360" w:lineRule="auto"/>
        <w:jc w:val="both"/>
        <w:rPr>
          <w:rFonts w:ascii="Arial" w:eastAsia="Arial" w:hAnsi="Arial" w:cs="Arial"/>
          <w:sz w:val="24"/>
          <w:szCs w:val="24"/>
        </w:rPr>
      </w:pPr>
      <w:r w:rsidRPr="00335534">
        <w:rPr>
          <w:rFonts w:ascii="Arial" w:eastAsia="Times New Roman" w:hAnsi="Arial" w:cs="Arial"/>
          <w:sz w:val="24"/>
          <w:szCs w:val="24"/>
        </w:rPr>
        <w:t xml:space="preserve">Así lo acordó </w:t>
      </w:r>
      <w:r w:rsidRPr="00335534">
        <w:rPr>
          <w:rFonts w:ascii="Arial" w:eastAsia="Times New Roman" w:hAnsi="Arial" w:cs="Arial"/>
          <w:b/>
          <w:bCs/>
          <w:sz w:val="24"/>
          <w:szCs w:val="24"/>
        </w:rPr>
        <w:t>por unanimidad</w:t>
      </w:r>
      <w:r w:rsidRPr="00335534">
        <w:rPr>
          <w:rFonts w:ascii="Arial" w:eastAsia="Times New Roman" w:hAnsi="Arial" w:cs="Arial"/>
          <w:sz w:val="24"/>
          <w:szCs w:val="24"/>
        </w:rPr>
        <w:t xml:space="preserve"> de votos </w:t>
      </w:r>
      <w:r w:rsidRPr="00335534">
        <w:rPr>
          <w:rFonts w:ascii="Arial" w:eastAsia="Arial" w:hAnsi="Arial" w:cs="Arial"/>
          <w:sz w:val="24"/>
          <w:szCs w:val="24"/>
        </w:rPr>
        <w:t xml:space="preserve">el Pleno </w:t>
      </w:r>
      <w:r w:rsidRPr="00335534">
        <w:rPr>
          <w:rFonts w:ascii="Arial" w:eastAsia="Arial" w:hAnsi="Arial" w:cs="Arial"/>
          <w:bCs/>
          <w:sz w:val="24"/>
          <w:szCs w:val="24"/>
        </w:rPr>
        <w:t>del Tribunal Estatal de Justicia Administrativa</w:t>
      </w:r>
      <w:r w:rsidRPr="00335534">
        <w:rPr>
          <w:rFonts w:ascii="Arial" w:eastAsia="Arial" w:hAnsi="Arial" w:cs="Arial"/>
          <w:sz w:val="24"/>
          <w:szCs w:val="24"/>
        </w:rPr>
        <w:t xml:space="preserve">, en sesión </w:t>
      </w:r>
      <w:r w:rsidRPr="000B3BB6">
        <w:rPr>
          <w:rFonts w:ascii="Arial" w:eastAsia="Arial" w:hAnsi="Arial" w:cs="Arial"/>
          <w:sz w:val="24"/>
          <w:szCs w:val="24"/>
        </w:rPr>
        <w:t xml:space="preserve">del </w:t>
      </w:r>
      <w:r w:rsidR="00D9336D">
        <w:rPr>
          <w:rFonts w:ascii="Arial" w:eastAsia="Arial" w:hAnsi="Arial" w:cs="Arial"/>
          <w:sz w:val="24"/>
          <w:szCs w:val="24"/>
        </w:rPr>
        <w:t>diecinueve de junio</w:t>
      </w:r>
      <w:r w:rsidRPr="000B3BB6">
        <w:rPr>
          <w:rFonts w:ascii="Arial" w:eastAsia="Arial" w:hAnsi="Arial" w:cs="Arial"/>
          <w:sz w:val="24"/>
          <w:szCs w:val="24"/>
        </w:rPr>
        <w:t xml:space="preserve"> de dos mil veinti</w:t>
      </w:r>
      <w:r>
        <w:rPr>
          <w:rFonts w:ascii="Arial" w:eastAsia="Arial" w:hAnsi="Arial" w:cs="Arial"/>
          <w:sz w:val="24"/>
          <w:szCs w:val="24"/>
        </w:rPr>
        <w:t>séis</w:t>
      </w:r>
      <w:r w:rsidRPr="000B3BB6">
        <w:rPr>
          <w:rFonts w:ascii="Arial" w:eastAsia="Arial" w:hAnsi="Arial" w:cs="Arial"/>
          <w:sz w:val="24"/>
          <w:szCs w:val="24"/>
        </w:rPr>
        <w:t>, por lo que, en</w:t>
      </w:r>
      <w:r w:rsidRPr="000B3BB6">
        <w:rPr>
          <w:rFonts w:ascii="Arial" w:eastAsia="Times New Roman" w:hAnsi="Arial" w:cs="Arial"/>
          <w:sz w:val="24"/>
          <w:szCs w:val="24"/>
        </w:rPr>
        <w:t xml:space="preserve"> términos de lo previsto en los artículos</w:t>
      </w:r>
      <w:r w:rsidRPr="00335534">
        <w:rPr>
          <w:rFonts w:ascii="Arial" w:eastAsia="Times New Roman" w:hAnsi="Arial" w:cs="Arial"/>
          <w:sz w:val="24"/>
          <w:szCs w:val="24"/>
        </w:rPr>
        <w:t xml:space="preserve"> 7, fracción</w:t>
      </w:r>
      <w:r>
        <w:rPr>
          <w:rFonts w:ascii="Arial" w:eastAsia="Times New Roman" w:hAnsi="Arial" w:cs="Arial"/>
          <w:sz w:val="24"/>
          <w:szCs w:val="24"/>
        </w:rPr>
        <w:t xml:space="preserve"> </w:t>
      </w:r>
      <w:r w:rsidRPr="00335534">
        <w:rPr>
          <w:rFonts w:ascii="Arial" w:eastAsia="Times New Roman" w:hAnsi="Arial" w:cs="Arial"/>
          <w:sz w:val="24"/>
          <w:szCs w:val="24"/>
        </w:rPr>
        <w:t xml:space="preserve">VII, </w:t>
      </w:r>
      <w:r>
        <w:rPr>
          <w:rFonts w:ascii="Arial" w:eastAsia="Times New Roman" w:hAnsi="Arial" w:cs="Arial"/>
          <w:sz w:val="24"/>
          <w:szCs w:val="24"/>
        </w:rPr>
        <w:t xml:space="preserve">13 bis y 13 bis B, fracción III, </w:t>
      </w:r>
      <w:r w:rsidRPr="00335534">
        <w:rPr>
          <w:rFonts w:ascii="Arial" w:eastAsia="Times New Roman" w:hAnsi="Arial" w:cs="Arial"/>
          <w:sz w:val="24"/>
          <w:szCs w:val="24"/>
        </w:rPr>
        <w:t xml:space="preserve">de la Ley Orgánica del Tribunal Estatal de Justicia Administrativa, </w:t>
      </w:r>
      <w:r w:rsidRPr="000B3BB6">
        <w:rPr>
          <w:rFonts w:ascii="Arial" w:eastAsia="Times New Roman" w:hAnsi="Arial" w:cs="Arial"/>
          <w:sz w:val="24"/>
          <w:szCs w:val="24"/>
        </w:rPr>
        <w:t>firma</w:t>
      </w:r>
      <w:r>
        <w:rPr>
          <w:rFonts w:ascii="Arial" w:eastAsia="Times New Roman" w:hAnsi="Arial" w:cs="Arial"/>
          <w:sz w:val="24"/>
          <w:szCs w:val="24"/>
        </w:rPr>
        <w:t>n</w:t>
      </w:r>
      <w:r w:rsidRPr="00335534">
        <w:rPr>
          <w:rFonts w:ascii="Arial" w:eastAsia="Times New Roman" w:hAnsi="Arial" w:cs="Arial"/>
          <w:sz w:val="24"/>
          <w:szCs w:val="24"/>
        </w:rPr>
        <w:t xml:space="preserve"> las personas titulares de las Magistraturas, </w:t>
      </w:r>
      <w:r w:rsidRPr="00335534">
        <w:rPr>
          <w:rFonts w:ascii="Arial" w:eastAsia="Times New Roman" w:hAnsi="Arial" w:cs="Arial"/>
          <w:b/>
          <w:bCs/>
          <w:sz w:val="24"/>
          <w:szCs w:val="24"/>
        </w:rPr>
        <w:t xml:space="preserve">Gregorio Daniel Morales Luévano, </w:t>
      </w:r>
      <w:r w:rsidRPr="00335534">
        <w:rPr>
          <w:rFonts w:ascii="Arial" w:eastAsia="Times New Roman" w:hAnsi="Arial" w:cs="Arial"/>
          <w:sz w:val="24"/>
          <w:szCs w:val="24"/>
        </w:rPr>
        <w:t>magistrado titular de la Segunda Sala Unitaria Administrativa</w:t>
      </w:r>
      <w:r>
        <w:rPr>
          <w:rFonts w:ascii="Arial" w:eastAsia="Times New Roman" w:hAnsi="Arial" w:cs="Arial"/>
          <w:sz w:val="24"/>
          <w:szCs w:val="24"/>
        </w:rPr>
        <w:t>;</w:t>
      </w:r>
      <w:r w:rsidRPr="00335534">
        <w:rPr>
          <w:rFonts w:ascii="Arial" w:eastAsia="Times New Roman" w:hAnsi="Arial" w:cs="Arial"/>
          <w:b/>
          <w:bCs/>
          <w:sz w:val="24"/>
          <w:szCs w:val="24"/>
        </w:rPr>
        <w:t xml:space="preserve"> Luis Eduardo Naranj</w:t>
      </w:r>
      <w:r>
        <w:rPr>
          <w:rFonts w:ascii="Arial" w:eastAsia="Times New Roman" w:hAnsi="Arial" w:cs="Arial"/>
          <w:b/>
          <w:bCs/>
          <w:sz w:val="24"/>
          <w:szCs w:val="24"/>
        </w:rPr>
        <w:t>o</w:t>
      </w:r>
      <w:r w:rsidRPr="00335534">
        <w:rPr>
          <w:rFonts w:ascii="Arial" w:eastAsia="Times New Roman" w:hAnsi="Arial" w:cs="Arial"/>
          <w:b/>
          <w:bCs/>
          <w:sz w:val="24"/>
          <w:szCs w:val="24"/>
        </w:rPr>
        <w:t xml:space="preserve"> Espinoza, </w:t>
      </w:r>
      <w:r w:rsidRPr="00335534">
        <w:rPr>
          <w:rFonts w:ascii="Arial" w:eastAsia="Times New Roman" w:hAnsi="Arial" w:cs="Arial"/>
          <w:sz w:val="24"/>
          <w:szCs w:val="24"/>
        </w:rPr>
        <w:t>magistrado titular de la Cuarta Sala Unitaria Especializada en Materia de Responsabilidades Administrativas</w:t>
      </w:r>
      <w:r>
        <w:rPr>
          <w:rFonts w:ascii="Arial" w:eastAsia="Times New Roman" w:hAnsi="Arial" w:cs="Arial"/>
          <w:sz w:val="24"/>
          <w:szCs w:val="24"/>
        </w:rPr>
        <w:t>;</w:t>
      </w:r>
      <w:r w:rsidRPr="00335534">
        <w:rPr>
          <w:rFonts w:ascii="Arial" w:eastAsia="Times New Roman" w:hAnsi="Arial" w:cs="Arial"/>
          <w:b/>
          <w:bCs/>
          <w:sz w:val="24"/>
          <w:szCs w:val="24"/>
        </w:rPr>
        <w:t xml:space="preserve"> Priscila Soto Jiménez, </w:t>
      </w:r>
      <w:r w:rsidRPr="00335534">
        <w:rPr>
          <w:rFonts w:ascii="Arial" w:eastAsia="Times New Roman" w:hAnsi="Arial" w:cs="Arial"/>
          <w:sz w:val="24"/>
          <w:szCs w:val="24"/>
        </w:rPr>
        <w:t>magistrada titular de la Quinta Sala Unitaria Especializada en Materia de Responsabilidades Administrativas,</w:t>
      </w:r>
      <w:r w:rsidRPr="00335534">
        <w:rPr>
          <w:rFonts w:ascii="Arial" w:eastAsia="Times New Roman" w:hAnsi="Arial" w:cs="Arial"/>
          <w:b/>
          <w:bCs/>
          <w:sz w:val="24"/>
          <w:szCs w:val="24"/>
        </w:rPr>
        <w:t xml:space="preserve"> </w:t>
      </w:r>
      <w:r w:rsidRPr="00335534">
        <w:rPr>
          <w:rFonts w:ascii="Arial" w:eastAsia="Times New Roman" w:hAnsi="Arial" w:cs="Arial"/>
          <w:sz w:val="24"/>
          <w:szCs w:val="24"/>
        </w:rPr>
        <w:t xml:space="preserve">y </w:t>
      </w:r>
      <w:r w:rsidRPr="00335534">
        <w:rPr>
          <w:rFonts w:ascii="Arial" w:eastAsia="Times New Roman" w:hAnsi="Arial" w:cs="Arial"/>
          <w:b/>
          <w:bCs/>
          <w:sz w:val="24"/>
          <w:szCs w:val="24"/>
        </w:rPr>
        <w:t>Alejandro Tavares Calderón</w:t>
      </w:r>
      <w:r w:rsidRPr="00335534">
        <w:rPr>
          <w:rFonts w:ascii="Arial" w:eastAsia="Times New Roman" w:hAnsi="Arial" w:cs="Arial"/>
          <w:sz w:val="24"/>
          <w:szCs w:val="24"/>
        </w:rPr>
        <w:t xml:space="preserve">, magistrado presidente y titular de la Tercera Sala Unitaria Administrativa, </w:t>
      </w:r>
      <w:r w:rsidRPr="00335534">
        <w:rPr>
          <w:rFonts w:ascii="Arial" w:hAnsi="Arial" w:cs="Arial"/>
          <w:color w:val="000000"/>
          <w:sz w:val="24"/>
          <w:szCs w:val="24"/>
        </w:rPr>
        <w:t xml:space="preserve">ante </w:t>
      </w:r>
      <w:r>
        <w:rPr>
          <w:rFonts w:ascii="Arial" w:hAnsi="Arial" w:cs="Arial"/>
          <w:b/>
          <w:bCs/>
          <w:color w:val="000000"/>
          <w:sz w:val="24"/>
          <w:szCs w:val="24"/>
        </w:rPr>
        <w:t>Carmen Fabiola Palacios Chaparro</w:t>
      </w:r>
      <w:r w:rsidRPr="00335534">
        <w:rPr>
          <w:rFonts w:ascii="Arial" w:hAnsi="Arial" w:cs="Arial"/>
          <w:color w:val="000000"/>
          <w:sz w:val="24"/>
          <w:szCs w:val="24"/>
        </w:rPr>
        <w:t>, quien actúa y da fe.</w:t>
      </w:r>
    </w:p>
    <w:p w14:paraId="1238D854" w14:textId="77777777" w:rsidR="00A81818" w:rsidRDefault="00A81818" w:rsidP="00DE50C5">
      <w:pPr>
        <w:spacing w:after="0"/>
        <w:jc w:val="both"/>
        <w:rPr>
          <w:rFonts w:ascii="Arial" w:hAnsi="Arial" w:cs="Arial"/>
          <w:sz w:val="24"/>
          <w:szCs w:val="24"/>
        </w:rPr>
      </w:pPr>
    </w:p>
    <w:p w14:paraId="211E6CC9" w14:textId="77777777" w:rsidR="00A81818" w:rsidRDefault="00A81818" w:rsidP="00DE50C5">
      <w:pPr>
        <w:spacing w:after="0"/>
        <w:jc w:val="both"/>
        <w:rPr>
          <w:rFonts w:ascii="Arial" w:hAnsi="Arial" w:cs="Arial"/>
          <w:sz w:val="24"/>
          <w:szCs w:val="24"/>
        </w:rPr>
      </w:pPr>
    </w:p>
    <w:p w14:paraId="157B35FE" w14:textId="77777777" w:rsidR="00CE1AAD" w:rsidRDefault="00CE1AAD" w:rsidP="00DE50C5">
      <w:pPr>
        <w:spacing w:after="0"/>
        <w:jc w:val="both"/>
        <w:rPr>
          <w:rFonts w:ascii="Arial" w:hAnsi="Arial" w:cs="Arial"/>
          <w:sz w:val="24"/>
          <w:szCs w:val="24"/>
        </w:rPr>
      </w:pPr>
    </w:p>
    <w:p w14:paraId="66F3AE31" w14:textId="77777777" w:rsidR="00CE1AAD" w:rsidRDefault="00CE1AAD" w:rsidP="00DE50C5">
      <w:pPr>
        <w:spacing w:after="0"/>
        <w:jc w:val="both"/>
        <w:rPr>
          <w:rFonts w:ascii="Arial" w:hAnsi="Arial" w:cs="Arial"/>
          <w:sz w:val="24"/>
          <w:szCs w:val="24"/>
        </w:rPr>
      </w:pPr>
    </w:p>
    <w:p w14:paraId="03A1212E" w14:textId="77777777" w:rsidR="00CE1AAD" w:rsidRDefault="00CE1AAD" w:rsidP="00DE50C5">
      <w:pPr>
        <w:spacing w:after="0"/>
        <w:jc w:val="both"/>
        <w:rPr>
          <w:rFonts w:ascii="Arial" w:hAnsi="Arial" w:cs="Arial"/>
          <w:sz w:val="24"/>
          <w:szCs w:val="24"/>
        </w:rPr>
      </w:pPr>
    </w:p>
    <w:p w14:paraId="2F730419" w14:textId="77777777" w:rsidR="00DE50C5" w:rsidRPr="00BE7E3C" w:rsidRDefault="00DE50C5" w:rsidP="00DE50C5">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E50C5" w:rsidRPr="00BE7E3C" w14:paraId="6B7ED15D" w14:textId="77777777">
        <w:tc>
          <w:tcPr>
            <w:tcW w:w="4678" w:type="dxa"/>
          </w:tcPr>
          <w:p w14:paraId="0BC7FDEC" w14:textId="2E297709" w:rsidR="00997B3E" w:rsidRPr="00BE7E3C" w:rsidRDefault="006954B6" w:rsidP="00997B3E">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Alejandro Tavares Calderón</w:t>
            </w:r>
          </w:p>
          <w:p w14:paraId="1264F006" w14:textId="414F1B3E" w:rsidR="00997B3E" w:rsidRPr="00BE7E3C" w:rsidRDefault="00997B3E" w:rsidP="00997B3E">
            <w:pPr>
              <w:tabs>
                <w:tab w:val="left" w:pos="5529"/>
              </w:tabs>
              <w:spacing w:after="0" w:line="240" w:lineRule="auto"/>
              <w:jc w:val="center"/>
              <w:rPr>
                <w:rFonts w:ascii="Arial" w:eastAsia="Arial" w:hAnsi="Arial" w:cs="Arial"/>
                <w:sz w:val="24"/>
                <w:szCs w:val="24"/>
                <w:lang w:eastAsia="es-MX"/>
              </w:rPr>
            </w:pPr>
            <w:r w:rsidRPr="00BE7E3C">
              <w:rPr>
                <w:rFonts w:ascii="Arial" w:eastAsia="Arial" w:hAnsi="Arial" w:cs="Arial"/>
                <w:b/>
                <w:bCs/>
                <w:sz w:val="24"/>
                <w:szCs w:val="24"/>
                <w:lang w:eastAsia="es-MX"/>
              </w:rPr>
              <w:t xml:space="preserve">    </w:t>
            </w:r>
            <w:r w:rsidR="006954B6" w:rsidRPr="00BE7E3C">
              <w:rPr>
                <w:rFonts w:ascii="Arial" w:eastAsia="Arial" w:hAnsi="Arial" w:cs="Arial"/>
                <w:sz w:val="24"/>
                <w:szCs w:val="24"/>
                <w:lang w:eastAsia="es-MX"/>
              </w:rPr>
              <w:t xml:space="preserve">Magistrado </w:t>
            </w:r>
            <w:r w:rsidR="00AD5445" w:rsidRPr="00BE7E3C">
              <w:rPr>
                <w:rFonts w:ascii="Arial" w:eastAsia="Arial" w:hAnsi="Arial" w:cs="Arial"/>
                <w:sz w:val="24"/>
                <w:szCs w:val="24"/>
                <w:lang w:eastAsia="es-MX"/>
              </w:rPr>
              <w:t>presidente</w:t>
            </w:r>
            <w:r w:rsidR="006954B6" w:rsidRPr="00BE7E3C">
              <w:rPr>
                <w:rFonts w:ascii="Arial" w:eastAsia="Tahoma" w:hAnsi="Arial" w:cs="Arial"/>
                <w:sz w:val="24"/>
                <w:szCs w:val="24"/>
              </w:rPr>
              <w:t xml:space="preserve"> </w:t>
            </w:r>
          </w:p>
          <w:p w14:paraId="27CA6748" w14:textId="6D6661EF" w:rsidR="00DE50C5" w:rsidRPr="00BE7E3C" w:rsidRDefault="00DE50C5">
            <w:pPr>
              <w:spacing w:after="0" w:line="240" w:lineRule="auto"/>
              <w:jc w:val="center"/>
              <w:rPr>
                <w:rFonts w:ascii="Arial" w:eastAsia="Times New Roman" w:hAnsi="Arial" w:cs="Arial"/>
                <w:b/>
                <w:bCs/>
                <w:sz w:val="24"/>
                <w:szCs w:val="24"/>
                <w:lang w:eastAsia="es-MX"/>
              </w:rPr>
            </w:pPr>
          </w:p>
        </w:tc>
        <w:tc>
          <w:tcPr>
            <w:tcW w:w="4536" w:type="dxa"/>
          </w:tcPr>
          <w:p w14:paraId="1AE90FF9" w14:textId="2B01EA37" w:rsidR="00DE50C5" w:rsidRPr="00BE7E3C" w:rsidRDefault="006954B6">
            <w:pPr>
              <w:spacing w:after="0" w:line="240" w:lineRule="auto"/>
              <w:jc w:val="center"/>
              <w:rPr>
                <w:rFonts w:ascii="Arial" w:hAnsi="Arial" w:cs="Arial"/>
                <w:b/>
                <w:bCs/>
                <w:sz w:val="24"/>
                <w:szCs w:val="24"/>
              </w:rPr>
            </w:pPr>
            <w:r w:rsidRPr="00BE7E3C">
              <w:rPr>
                <w:rFonts w:ascii="Arial" w:hAnsi="Arial" w:cs="Arial"/>
                <w:b/>
                <w:bCs/>
                <w:sz w:val="24"/>
                <w:szCs w:val="24"/>
              </w:rPr>
              <w:t>Gregorio Daniel Morales Luévano</w:t>
            </w:r>
          </w:p>
          <w:p w14:paraId="7A167CA0" w14:textId="3875388A" w:rsidR="00DE50C5" w:rsidRPr="00BE7E3C" w:rsidRDefault="006954B6">
            <w:pPr>
              <w:spacing w:after="0" w:line="240" w:lineRule="auto"/>
              <w:jc w:val="center"/>
              <w:rPr>
                <w:rFonts w:ascii="Arial" w:eastAsia="Times New Roman" w:hAnsi="Arial" w:cs="Arial"/>
                <w:sz w:val="24"/>
                <w:szCs w:val="24"/>
                <w:lang w:eastAsia="es-MX"/>
              </w:rPr>
            </w:pPr>
            <w:r w:rsidRPr="00BE7E3C">
              <w:rPr>
                <w:rFonts w:ascii="Arial" w:hAnsi="Arial" w:cs="Arial"/>
                <w:sz w:val="24"/>
                <w:szCs w:val="24"/>
              </w:rPr>
              <w:t>Magistrado</w:t>
            </w:r>
          </w:p>
          <w:p w14:paraId="4BB7F6AB" w14:textId="77777777" w:rsidR="00DE50C5" w:rsidRPr="00BE7E3C" w:rsidRDefault="00DE50C5">
            <w:pPr>
              <w:spacing w:after="0" w:line="240" w:lineRule="auto"/>
              <w:jc w:val="center"/>
              <w:rPr>
                <w:rFonts w:ascii="Arial" w:hAnsi="Arial" w:cs="Arial"/>
                <w:b/>
                <w:bCs/>
                <w:sz w:val="24"/>
                <w:szCs w:val="24"/>
              </w:rPr>
            </w:pPr>
          </w:p>
        </w:tc>
      </w:tr>
    </w:tbl>
    <w:p w14:paraId="594E966D" w14:textId="77777777" w:rsidR="00DE50C5" w:rsidRPr="00BE7E3C" w:rsidRDefault="00DE50C5" w:rsidP="00DE50C5">
      <w:pPr>
        <w:spacing w:after="0" w:line="240" w:lineRule="auto"/>
        <w:jc w:val="both"/>
        <w:rPr>
          <w:rFonts w:ascii="Arial" w:hAnsi="Arial" w:cs="Arial"/>
          <w:sz w:val="24"/>
          <w:szCs w:val="24"/>
        </w:rPr>
      </w:pPr>
    </w:p>
    <w:p w14:paraId="7678754B" w14:textId="77777777" w:rsidR="00C47DD0" w:rsidRDefault="00C47DD0" w:rsidP="00DE50C5">
      <w:pPr>
        <w:spacing w:after="0" w:line="240" w:lineRule="auto"/>
        <w:jc w:val="both"/>
        <w:rPr>
          <w:rFonts w:ascii="Arial" w:hAnsi="Arial" w:cs="Arial"/>
          <w:sz w:val="24"/>
          <w:szCs w:val="24"/>
        </w:rPr>
      </w:pPr>
    </w:p>
    <w:p w14:paraId="0C04458A" w14:textId="77777777" w:rsidR="00075D31" w:rsidRDefault="00075D31" w:rsidP="00DE50C5">
      <w:pPr>
        <w:spacing w:after="0" w:line="240" w:lineRule="auto"/>
        <w:jc w:val="both"/>
        <w:rPr>
          <w:rFonts w:ascii="Arial" w:hAnsi="Arial" w:cs="Arial"/>
          <w:sz w:val="24"/>
          <w:szCs w:val="24"/>
        </w:rPr>
      </w:pPr>
    </w:p>
    <w:p w14:paraId="46FB6B9C" w14:textId="77777777" w:rsidR="00CE1AAD" w:rsidRDefault="00CE1AAD" w:rsidP="00DE50C5">
      <w:pPr>
        <w:spacing w:after="0" w:line="240" w:lineRule="auto"/>
        <w:jc w:val="both"/>
        <w:rPr>
          <w:rFonts w:ascii="Arial" w:hAnsi="Arial" w:cs="Arial"/>
          <w:sz w:val="24"/>
          <w:szCs w:val="24"/>
        </w:rPr>
      </w:pPr>
    </w:p>
    <w:p w14:paraId="078D79C8" w14:textId="77777777" w:rsidR="00CE1AAD" w:rsidRPr="00BE7E3C" w:rsidRDefault="00CE1AAD" w:rsidP="00DE50C5">
      <w:pPr>
        <w:spacing w:after="0" w:line="240" w:lineRule="auto"/>
        <w:jc w:val="both"/>
        <w:rPr>
          <w:rFonts w:ascii="Arial" w:hAnsi="Arial" w:cs="Arial"/>
          <w:sz w:val="24"/>
          <w:szCs w:val="24"/>
        </w:rPr>
      </w:pPr>
    </w:p>
    <w:p w14:paraId="55089B87" w14:textId="77777777" w:rsidR="0052440E" w:rsidRPr="00BE7E3C" w:rsidRDefault="0052440E" w:rsidP="00DE50C5">
      <w:pPr>
        <w:spacing w:after="0" w:line="240" w:lineRule="auto"/>
        <w:jc w:val="both"/>
        <w:rPr>
          <w:rFonts w:ascii="Arial" w:hAnsi="Arial" w:cs="Arial"/>
          <w:sz w:val="24"/>
          <w:szCs w:val="24"/>
        </w:rPr>
      </w:pPr>
    </w:p>
    <w:p w14:paraId="52C78B8C" w14:textId="77777777" w:rsidR="00DE50C5" w:rsidRPr="00BE7E3C" w:rsidRDefault="00DE50C5" w:rsidP="00DE50C5">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E50C5" w:rsidRPr="00BE7E3C" w14:paraId="17AB962A" w14:textId="77777777">
        <w:tc>
          <w:tcPr>
            <w:tcW w:w="4678" w:type="dxa"/>
          </w:tcPr>
          <w:p w14:paraId="4C4156B2" w14:textId="5200753B" w:rsidR="00DE50C5" w:rsidRPr="00BE7E3C" w:rsidRDefault="006954B6">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Luis Eduardo Naranjo Espinoza</w:t>
            </w:r>
          </w:p>
          <w:p w14:paraId="01A7C688" w14:textId="13BD484F" w:rsidR="00DE50C5" w:rsidRPr="00BE7E3C" w:rsidRDefault="006954B6">
            <w:pPr>
              <w:spacing w:after="0" w:line="240" w:lineRule="auto"/>
              <w:jc w:val="center"/>
              <w:rPr>
                <w:rFonts w:ascii="Arial" w:hAnsi="Arial" w:cs="Arial"/>
                <w:sz w:val="24"/>
                <w:szCs w:val="24"/>
              </w:rPr>
            </w:pPr>
            <w:r w:rsidRPr="00BE7E3C">
              <w:rPr>
                <w:rFonts w:ascii="Arial" w:hAnsi="Arial" w:cs="Arial"/>
                <w:sz w:val="24"/>
                <w:szCs w:val="24"/>
              </w:rPr>
              <w:t>Magistrado</w:t>
            </w:r>
          </w:p>
        </w:tc>
        <w:tc>
          <w:tcPr>
            <w:tcW w:w="4536" w:type="dxa"/>
          </w:tcPr>
          <w:p w14:paraId="1C77F70C" w14:textId="334EA787" w:rsidR="00DE50C5" w:rsidRPr="00BE7E3C" w:rsidRDefault="006954B6">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Priscila Soto Jiménez</w:t>
            </w:r>
          </w:p>
          <w:p w14:paraId="414D3E35" w14:textId="0E6FEC50" w:rsidR="00DE50C5" w:rsidRPr="00BE7E3C" w:rsidRDefault="006954B6">
            <w:pPr>
              <w:tabs>
                <w:tab w:val="left" w:pos="5529"/>
              </w:tabs>
              <w:spacing w:after="0" w:line="240" w:lineRule="auto"/>
              <w:jc w:val="center"/>
              <w:rPr>
                <w:rFonts w:ascii="Arial" w:eastAsia="Arial" w:hAnsi="Arial" w:cs="Arial"/>
                <w:sz w:val="24"/>
                <w:szCs w:val="24"/>
                <w:lang w:eastAsia="es-MX"/>
              </w:rPr>
            </w:pPr>
            <w:r w:rsidRPr="00BE7E3C">
              <w:rPr>
                <w:rFonts w:ascii="Arial" w:hAnsi="Arial" w:cs="Arial"/>
                <w:sz w:val="24"/>
                <w:szCs w:val="24"/>
              </w:rPr>
              <w:t>Magistrada</w:t>
            </w:r>
          </w:p>
          <w:p w14:paraId="4B585B18" w14:textId="77777777" w:rsidR="00DE50C5" w:rsidRPr="00BE7E3C" w:rsidRDefault="00DE50C5">
            <w:pPr>
              <w:spacing w:after="0" w:line="240" w:lineRule="auto"/>
              <w:jc w:val="center"/>
              <w:rPr>
                <w:rFonts w:ascii="Arial" w:hAnsi="Arial" w:cs="Arial"/>
                <w:b/>
                <w:bCs/>
                <w:sz w:val="24"/>
                <w:szCs w:val="24"/>
              </w:rPr>
            </w:pPr>
          </w:p>
        </w:tc>
      </w:tr>
    </w:tbl>
    <w:p w14:paraId="74789915" w14:textId="285AD6FD" w:rsidR="00DE50C5" w:rsidRPr="00BE7E3C" w:rsidRDefault="00DE50C5" w:rsidP="009B74D5">
      <w:pPr>
        <w:tabs>
          <w:tab w:val="left" w:pos="4950"/>
        </w:tabs>
        <w:spacing w:after="0" w:line="360" w:lineRule="auto"/>
        <w:jc w:val="both"/>
        <w:rPr>
          <w:rFonts w:ascii="Arial" w:eastAsia="Tahoma" w:hAnsi="Arial" w:cs="Arial"/>
          <w:sz w:val="24"/>
          <w:szCs w:val="24"/>
        </w:rPr>
      </w:pPr>
      <w:r w:rsidRPr="00BE7E3C">
        <w:rPr>
          <w:rFonts w:ascii="Arial" w:eastAsia="Tahoma" w:hAnsi="Arial" w:cs="Arial"/>
          <w:sz w:val="24"/>
          <w:szCs w:val="24"/>
        </w:rPr>
        <w:tab/>
      </w:r>
    </w:p>
    <w:p w14:paraId="3EB4DC5F" w14:textId="4CF6A484" w:rsidR="00BE7E3C" w:rsidRPr="00BE7E3C" w:rsidRDefault="00DE50C5" w:rsidP="00DE50C5">
      <w:pPr>
        <w:tabs>
          <w:tab w:val="left" w:pos="5529"/>
        </w:tabs>
        <w:spacing w:after="0" w:line="240" w:lineRule="auto"/>
        <w:jc w:val="center"/>
        <w:rPr>
          <w:rFonts w:ascii="Arial" w:eastAsia="Arial" w:hAnsi="Arial" w:cs="Arial"/>
          <w:b/>
          <w:bCs/>
          <w:sz w:val="24"/>
          <w:szCs w:val="24"/>
          <w:lang w:eastAsia="es-MX"/>
        </w:rPr>
      </w:pPr>
      <w:r w:rsidRPr="00BE7E3C">
        <w:rPr>
          <w:rFonts w:ascii="Arial" w:eastAsia="Tahoma" w:hAnsi="Arial" w:cs="Arial"/>
          <w:b/>
          <w:bCs/>
          <w:sz w:val="24"/>
          <w:szCs w:val="24"/>
        </w:rPr>
        <w:t xml:space="preserve">  </w:t>
      </w:r>
    </w:p>
    <w:p w14:paraId="7A78D0CC" w14:textId="6FB262C5" w:rsidR="00DE50C5" w:rsidRPr="00BE7E3C" w:rsidRDefault="00DE50C5" w:rsidP="00DE50C5">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 xml:space="preserve">          </w:t>
      </w:r>
      <w:r w:rsidR="00A81818">
        <w:rPr>
          <w:rFonts w:ascii="Arial" w:eastAsia="Tahoma" w:hAnsi="Arial" w:cs="Arial"/>
          <w:b/>
          <w:bCs/>
          <w:sz w:val="24"/>
          <w:szCs w:val="24"/>
        </w:rPr>
        <w:t>Carmen Fabiola Palacios Chaparro</w:t>
      </w:r>
    </w:p>
    <w:p w14:paraId="07EF1979" w14:textId="4CCF19CC" w:rsidR="00DE50C5" w:rsidRPr="00BE7E3C" w:rsidRDefault="00DE50C5" w:rsidP="00DE50C5">
      <w:pPr>
        <w:spacing w:after="0" w:line="240" w:lineRule="auto"/>
        <w:jc w:val="center"/>
        <w:rPr>
          <w:rFonts w:ascii="Arial" w:eastAsia="Tahoma" w:hAnsi="Arial" w:cs="Arial"/>
          <w:sz w:val="24"/>
          <w:szCs w:val="24"/>
        </w:rPr>
      </w:pPr>
      <w:r w:rsidRPr="00BE7E3C">
        <w:rPr>
          <w:rFonts w:ascii="Arial" w:eastAsia="Tahoma" w:hAnsi="Arial" w:cs="Arial"/>
          <w:b/>
          <w:bCs/>
          <w:sz w:val="24"/>
          <w:szCs w:val="24"/>
        </w:rPr>
        <w:t xml:space="preserve">           </w:t>
      </w:r>
      <w:r w:rsidR="00E233A2" w:rsidRPr="00BE7E3C">
        <w:rPr>
          <w:rFonts w:ascii="Arial" w:eastAsia="Tahoma" w:hAnsi="Arial" w:cs="Arial"/>
          <w:sz w:val="24"/>
          <w:szCs w:val="24"/>
        </w:rPr>
        <w:t>Secretari</w:t>
      </w:r>
      <w:r w:rsidR="00A81818">
        <w:rPr>
          <w:rFonts w:ascii="Arial" w:eastAsia="Tahoma" w:hAnsi="Arial" w:cs="Arial"/>
          <w:sz w:val="24"/>
          <w:szCs w:val="24"/>
        </w:rPr>
        <w:t>a</w:t>
      </w:r>
      <w:r w:rsidR="00AD5445" w:rsidRPr="00BE7E3C">
        <w:rPr>
          <w:rFonts w:ascii="Arial" w:eastAsia="Tahoma" w:hAnsi="Arial" w:cs="Arial"/>
          <w:sz w:val="24"/>
          <w:szCs w:val="24"/>
        </w:rPr>
        <w:t xml:space="preserve"> general</w:t>
      </w:r>
      <w:r w:rsidR="00FC247A" w:rsidRPr="00BE7E3C">
        <w:rPr>
          <w:rStyle w:val="Refdenotaalpie"/>
          <w:rFonts w:ascii="Arial" w:eastAsia="Tahoma" w:hAnsi="Arial" w:cs="Arial"/>
          <w:sz w:val="24"/>
          <w:szCs w:val="24"/>
        </w:rPr>
        <w:footnoteReference w:id="1"/>
      </w:r>
    </w:p>
    <w:p w14:paraId="3056C581" w14:textId="77777777" w:rsidR="0052440E" w:rsidRDefault="0052440E" w:rsidP="00DE50C5">
      <w:pPr>
        <w:spacing w:after="0" w:line="240" w:lineRule="auto"/>
        <w:jc w:val="both"/>
        <w:rPr>
          <w:rFonts w:ascii="Arial" w:eastAsia="Tahoma" w:hAnsi="Arial" w:cs="Arial"/>
          <w:b/>
          <w:bCs/>
          <w:sz w:val="20"/>
          <w:szCs w:val="20"/>
        </w:rPr>
      </w:pPr>
    </w:p>
    <w:p w14:paraId="397DC23D" w14:textId="77777777" w:rsidR="0052440E" w:rsidRDefault="0052440E" w:rsidP="00DE50C5">
      <w:pPr>
        <w:spacing w:after="0" w:line="240" w:lineRule="auto"/>
        <w:jc w:val="both"/>
        <w:rPr>
          <w:rFonts w:ascii="Arial" w:eastAsia="Tahoma" w:hAnsi="Arial" w:cs="Arial"/>
          <w:b/>
          <w:bCs/>
          <w:sz w:val="20"/>
          <w:szCs w:val="20"/>
        </w:rPr>
      </w:pPr>
    </w:p>
    <w:p w14:paraId="6E3FBA7B" w14:textId="77777777" w:rsidR="0052440E" w:rsidRDefault="0052440E" w:rsidP="00DE50C5">
      <w:pPr>
        <w:spacing w:after="0" w:line="240" w:lineRule="auto"/>
        <w:jc w:val="both"/>
        <w:rPr>
          <w:rFonts w:ascii="Arial" w:eastAsia="Tahoma" w:hAnsi="Arial" w:cs="Arial"/>
          <w:b/>
          <w:bCs/>
          <w:sz w:val="20"/>
          <w:szCs w:val="20"/>
        </w:rPr>
      </w:pPr>
    </w:p>
    <w:p w14:paraId="766F873F" w14:textId="77777777" w:rsidR="00C47DD0" w:rsidRDefault="00C47DD0" w:rsidP="00DE50C5">
      <w:pPr>
        <w:spacing w:after="0" w:line="240" w:lineRule="auto"/>
        <w:jc w:val="both"/>
        <w:rPr>
          <w:rFonts w:ascii="Arial" w:eastAsia="Tahoma" w:hAnsi="Arial" w:cs="Arial"/>
          <w:b/>
          <w:bCs/>
          <w:sz w:val="20"/>
          <w:szCs w:val="20"/>
        </w:rPr>
      </w:pPr>
    </w:p>
    <w:p w14:paraId="791ED4D5" w14:textId="77777777" w:rsidR="00825595" w:rsidRDefault="00825595" w:rsidP="00DE50C5">
      <w:pPr>
        <w:spacing w:after="0" w:line="240" w:lineRule="auto"/>
        <w:jc w:val="both"/>
        <w:rPr>
          <w:rFonts w:ascii="Arial" w:eastAsia="Tahoma" w:hAnsi="Arial" w:cs="Arial"/>
          <w:b/>
          <w:bCs/>
          <w:sz w:val="20"/>
          <w:szCs w:val="20"/>
        </w:rPr>
      </w:pPr>
    </w:p>
    <w:p w14:paraId="732A04E3" w14:textId="084DD016" w:rsidR="0052440E" w:rsidRDefault="00DE50C5" w:rsidP="00B72BA4">
      <w:pPr>
        <w:spacing w:after="0" w:line="240" w:lineRule="auto"/>
        <w:jc w:val="both"/>
      </w:pPr>
      <w:r w:rsidRPr="00997B3E">
        <w:rPr>
          <w:rFonts w:ascii="Arial" w:eastAsia="Tahoma" w:hAnsi="Arial" w:cs="Arial"/>
          <w:b/>
          <w:bCs/>
          <w:sz w:val="20"/>
          <w:szCs w:val="20"/>
        </w:rPr>
        <w:t>CONSTANCIA.</w:t>
      </w:r>
      <w:r w:rsidRPr="00997B3E">
        <w:rPr>
          <w:rFonts w:ascii="Arial" w:eastAsia="Tahoma" w:hAnsi="Arial" w:cs="Arial"/>
          <w:sz w:val="20"/>
          <w:szCs w:val="20"/>
        </w:rPr>
        <w:t xml:space="preserve"> Con fundamento en el artículo 13 bis B, fracciones I, III, y XI de la Ley Orgánica de este Tribunal Estatal. DOY FE, que el _______ de _______________ de dos mil veinti</w:t>
      </w:r>
      <w:r w:rsidR="005E68C3">
        <w:rPr>
          <w:rFonts w:ascii="Arial" w:eastAsia="Tahoma" w:hAnsi="Arial" w:cs="Arial"/>
          <w:sz w:val="20"/>
          <w:szCs w:val="20"/>
        </w:rPr>
        <w:t>séis</w:t>
      </w:r>
      <w:r w:rsidRPr="00997B3E">
        <w:rPr>
          <w:rFonts w:ascii="Arial" w:eastAsia="Tahoma" w:hAnsi="Arial" w:cs="Arial"/>
          <w:sz w:val="20"/>
          <w:szCs w:val="20"/>
        </w:rPr>
        <w:t xml:space="preserve">, se fijó y publicó en los estrados de este Tribunal Estatal de Justicia Administrativa. </w:t>
      </w:r>
      <w:r w:rsidR="00532BCB">
        <w:rPr>
          <w:rFonts w:ascii="Arial" w:eastAsia="Tahoma" w:hAnsi="Arial" w:cs="Arial"/>
          <w:sz w:val="20"/>
          <w:szCs w:val="20"/>
        </w:rPr>
        <w:t>__________________________________________</w:t>
      </w:r>
      <w:r w:rsidRPr="00997B3E">
        <w:rPr>
          <w:rFonts w:ascii="Arial" w:eastAsia="Tahoma" w:hAnsi="Arial" w:cs="Arial"/>
          <w:sz w:val="20"/>
          <w:szCs w:val="20"/>
        </w:rPr>
        <w:t xml:space="preserve">, </w:t>
      </w:r>
      <w:r w:rsidR="00532BCB">
        <w:rPr>
          <w:rFonts w:ascii="Arial" w:eastAsia="Tahoma" w:hAnsi="Arial" w:cs="Arial"/>
          <w:sz w:val="20"/>
          <w:szCs w:val="20"/>
        </w:rPr>
        <w:t xml:space="preserve">adscrita </w:t>
      </w:r>
      <w:r w:rsidRPr="00997B3E">
        <w:rPr>
          <w:rFonts w:ascii="Arial" w:eastAsia="Tahoma" w:hAnsi="Arial" w:cs="Arial"/>
          <w:sz w:val="20"/>
          <w:szCs w:val="20"/>
        </w:rPr>
        <w:t>secretar</w:t>
      </w:r>
      <w:r w:rsidR="00532BCB">
        <w:rPr>
          <w:rFonts w:ascii="Arial" w:eastAsia="Tahoma" w:hAnsi="Arial" w:cs="Arial"/>
          <w:sz w:val="20"/>
          <w:szCs w:val="20"/>
        </w:rPr>
        <w:t>í</w:t>
      </w:r>
      <w:r w:rsidR="002B3147">
        <w:rPr>
          <w:rFonts w:ascii="Arial" w:eastAsia="Tahoma" w:hAnsi="Arial" w:cs="Arial"/>
          <w:sz w:val="20"/>
          <w:szCs w:val="20"/>
        </w:rPr>
        <w:t>a</w:t>
      </w:r>
      <w:r w:rsidR="00E233A2">
        <w:rPr>
          <w:rFonts w:ascii="Arial" w:eastAsia="Tahoma" w:hAnsi="Arial" w:cs="Arial"/>
          <w:sz w:val="20"/>
          <w:szCs w:val="20"/>
        </w:rPr>
        <w:t xml:space="preserve"> general</w:t>
      </w:r>
      <w:r w:rsidRPr="00997B3E">
        <w:rPr>
          <w:rFonts w:ascii="Arial" w:eastAsia="Tahoma" w:hAnsi="Arial" w:cs="Arial"/>
          <w:sz w:val="20"/>
          <w:szCs w:val="20"/>
        </w:rPr>
        <w:t>.</w:t>
      </w:r>
    </w:p>
    <w:sectPr w:rsidR="0052440E">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70B80" w14:textId="77777777" w:rsidR="00493CD7" w:rsidRDefault="00493CD7" w:rsidP="00DE50C5">
      <w:pPr>
        <w:spacing w:after="0" w:line="240" w:lineRule="auto"/>
      </w:pPr>
      <w:r>
        <w:separator/>
      </w:r>
    </w:p>
  </w:endnote>
  <w:endnote w:type="continuationSeparator" w:id="0">
    <w:p w14:paraId="7B265AF3" w14:textId="77777777" w:rsidR="00493CD7" w:rsidRDefault="00493CD7" w:rsidP="00DE5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300847"/>
      <w:docPartObj>
        <w:docPartGallery w:val="Page Numbers (Bottom of Page)"/>
        <w:docPartUnique/>
      </w:docPartObj>
    </w:sdtPr>
    <w:sdtEndPr>
      <w:rPr>
        <w:rFonts w:ascii="Arial" w:hAnsi="Arial" w:cs="Arial"/>
      </w:rPr>
    </w:sdtEndPr>
    <w:sdtContent>
      <w:p w14:paraId="25FBACB4" w14:textId="77777777" w:rsidR="00C74C5B" w:rsidRDefault="00C74C5B">
        <w:pPr>
          <w:pStyle w:val="Piedepgina"/>
          <w:jc w:val="right"/>
        </w:pPr>
        <w:r>
          <w:fldChar w:fldCharType="begin"/>
        </w:r>
        <w:r>
          <w:instrText>PAGE   \* MERGEFORMAT</w:instrText>
        </w:r>
        <w:r>
          <w:fldChar w:fldCharType="separate"/>
        </w:r>
        <w:r>
          <w:rPr>
            <w:lang w:val="es-ES"/>
          </w:rPr>
          <w:t>2</w:t>
        </w:r>
        <w:r>
          <w:fldChar w:fldCharType="end"/>
        </w:r>
      </w:p>
      <w:p w14:paraId="647CEDEF" w14:textId="77777777" w:rsidR="00C74C5B" w:rsidRDefault="00C74C5B">
        <w:pPr>
          <w:pStyle w:val="Piedepgina"/>
          <w:jc w:val="right"/>
        </w:pPr>
      </w:p>
      <w:p w14:paraId="3655AD54" w14:textId="6EFA805A" w:rsidR="00C74C5B" w:rsidRPr="00F82B1B" w:rsidRDefault="00C74C5B" w:rsidP="00C74C5B">
        <w:pPr>
          <w:pStyle w:val="Piedepgina"/>
          <w:rPr>
            <w:rFonts w:ascii="Arial" w:hAnsi="Arial" w:cs="Arial"/>
          </w:rPr>
        </w:pPr>
        <w:r w:rsidRPr="00F82B1B">
          <w:rPr>
            <w:rFonts w:ascii="Arial" w:hAnsi="Arial" w:cs="Arial"/>
          </w:rPr>
          <w:t>ACUERDO PLENO-</w:t>
        </w:r>
        <w:r w:rsidR="005A6445">
          <w:rPr>
            <w:rFonts w:ascii="Arial" w:hAnsi="Arial" w:cs="Arial"/>
          </w:rPr>
          <w:t>0</w:t>
        </w:r>
        <w:r w:rsidR="00D9336D">
          <w:rPr>
            <w:rFonts w:ascii="Arial" w:hAnsi="Arial" w:cs="Arial"/>
          </w:rPr>
          <w:t>46</w:t>
        </w:r>
        <w:r w:rsidR="00CA3EDC">
          <w:rPr>
            <w:rFonts w:ascii="Arial" w:hAnsi="Arial" w:cs="Arial"/>
          </w:rPr>
          <w:t>/</w:t>
        </w:r>
        <w:r w:rsidRPr="00F82B1B">
          <w:rPr>
            <w:rFonts w:ascii="Arial" w:hAnsi="Arial" w:cs="Arial"/>
          </w:rPr>
          <w:t>202</w:t>
        </w:r>
        <w:r w:rsidR="00551A76">
          <w:rPr>
            <w:rFonts w:ascii="Arial" w:hAnsi="Arial" w:cs="Arial"/>
          </w:rPr>
          <w:t>6</w:t>
        </w:r>
      </w:p>
    </w:sdtContent>
  </w:sdt>
  <w:p w14:paraId="218DE772" w14:textId="0E859945" w:rsidR="00C74C5B" w:rsidRPr="00C74C5B" w:rsidRDefault="00C74C5B">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15EB2" w14:textId="77777777" w:rsidR="00493CD7" w:rsidRDefault="00493CD7" w:rsidP="00DE50C5">
      <w:pPr>
        <w:spacing w:after="0" w:line="240" w:lineRule="auto"/>
      </w:pPr>
      <w:r>
        <w:separator/>
      </w:r>
    </w:p>
  </w:footnote>
  <w:footnote w:type="continuationSeparator" w:id="0">
    <w:p w14:paraId="13361DF0" w14:textId="77777777" w:rsidR="00493CD7" w:rsidRDefault="00493CD7" w:rsidP="00DE50C5">
      <w:pPr>
        <w:spacing w:after="0" w:line="240" w:lineRule="auto"/>
      </w:pPr>
      <w:r>
        <w:continuationSeparator/>
      </w:r>
    </w:p>
  </w:footnote>
  <w:footnote w:id="1">
    <w:p w14:paraId="512775E7" w14:textId="6988ED10" w:rsidR="00FC247A" w:rsidRPr="00712F70" w:rsidRDefault="00FC247A" w:rsidP="00712F70">
      <w:pPr>
        <w:tabs>
          <w:tab w:val="left" w:pos="5529"/>
        </w:tabs>
        <w:spacing w:after="0" w:line="240" w:lineRule="auto"/>
        <w:jc w:val="both"/>
        <w:rPr>
          <w:rFonts w:ascii="Arial" w:eastAsia="Arial" w:hAnsi="Arial" w:cs="Arial"/>
          <w:b/>
          <w:bCs/>
          <w:sz w:val="20"/>
          <w:szCs w:val="20"/>
          <w:lang w:eastAsia="es-MX"/>
        </w:rPr>
      </w:pPr>
      <w:r w:rsidRPr="00F06309">
        <w:rPr>
          <w:rStyle w:val="Refdenotaalpie"/>
          <w:rFonts w:ascii="Arial" w:hAnsi="Arial" w:cs="Arial"/>
          <w:sz w:val="20"/>
          <w:szCs w:val="20"/>
        </w:rPr>
        <w:footnoteRef/>
      </w:r>
      <w:r w:rsidRPr="00F06309">
        <w:rPr>
          <w:rFonts w:ascii="Arial" w:hAnsi="Arial" w:cs="Arial"/>
          <w:sz w:val="20"/>
          <w:szCs w:val="20"/>
        </w:rPr>
        <w:t xml:space="preserve"> </w:t>
      </w:r>
      <w:r w:rsidRPr="00F06309">
        <w:rPr>
          <w:rFonts w:ascii="Arial" w:eastAsia="Tahoma" w:hAnsi="Arial" w:cs="Arial"/>
          <w:sz w:val="20"/>
          <w:szCs w:val="20"/>
        </w:rPr>
        <w:t>Esta hoja de firmas corresponde al acuerdo PLENO-</w:t>
      </w:r>
      <w:r w:rsidR="00B72BA4">
        <w:rPr>
          <w:rFonts w:ascii="Arial" w:eastAsia="Tahoma" w:hAnsi="Arial" w:cs="Arial"/>
          <w:sz w:val="20"/>
          <w:szCs w:val="20"/>
        </w:rPr>
        <w:t>0</w:t>
      </w:r>
      <w:r w:rsidR="00D9336D">
        <w:rPr>
          <w:rFonts w:ascii="Arial" w:eastAsia="Tahoma" w:hAnsi="Arial" w:cs="Arial"/>
          <w:sz w:val="20"/>
          <w:szCs w:val="20"/>
        </w:rPr>
        <w:t>46</w:t>
      </w:r>
      <w:r w:rsidRPr="00F06309">
        <w:rPr>
          <w:rFonts w:ascii="Arial" w:eastAsia="Tahoma" w:hAnsi="Arial" w:cs="Arial"/>
          <w:sz w:val="20"/>
          <w:szCs w:val="20"/>
        </w:rPr>
        <w:t xml:space="preserve">/2025 </w:t>
      </w:r>
      <w:r w:rsidR="001D4048" w:rsidRPr="00F06309">
        <w:rPr>
          <w:rFonts w:ascii="Arial" w:eastAsia="Tahoma" w:hAnsi="Arial" w:cs="Arial"/>
          <w:sz w:val="20"/>
          <w:szCs w:val="20"/>
        </w:rPr>
        <w:t>de</w:t>
      </w:r>
      <w:r w:rsidR="00020EC5" w:rsidRPr="00F06309">
        <w:rPr>
          <w:rFonts w:ascii="Arial" w:eastAsia="Tahoma" w:hAnsi="Arial" w:cs="Arial"/>
          <w:sz w:val="20"/>
          <w:szCs w:val="20"/>
        </w:rPr>
        <w:t xml:space="preserve"> sesión del </w:t>
      </w:r>
      <w:r w:rsidR="00D9336D">
        <w:rPr>
          <w:rFonts w:ascii="Arial" w:eastAsia="Tahoma" w:hAnsi="Arial" w:cs="Arial"/>
          <w:sz w:val="20"/>
          <w:szCs w:val="20"/>
        </w:rPr>
        <w:t>diecinueve de junio</w:t>
      </w:r>
      <w:r w:rsidR="00A81818" w:rsidRPr="00F06309">
        <w:rPr>
          <w:rFonts w:ascii="Arial" w:eastAsia="Tahoma" w:hAnsi="Arial" w:cs="Arial"/>
          <w:sz w:val="20"/>
          <w:szCs w:val="20"/>
        </w:rPr>
        <w:t xml:space="preserve"> </w:t>
      </w:r>
      <w:r w:rsidR="00020EC5" w:rsidRPr="00F06309">
        <w:rPr>
          <w:rFonts w:ascii="Arial" w:eastAsia="Tahoma" w:hAnsi="Arial" w:cs="Arial"/>
          <w:sz w:val="20"/>
          <w:szCs w:val="20"/>
        </w:rPr>
        <w:t>de dos mil veinti</w:t>
      </w:r>
      <w:r w:rsidR="00B72BA4">
        <w:rPr>
          <w:rFonts w:ascii="Arial" w:eastAsia="Tahoma" w:hAnsi="Arial" w:cs="Arial"/>
          <w:sz w:val="20"/>
          <w:szCs w:val="20"/>
        </w:rPr>
        <w:t>séis</w:t>
      </w:r>
      <w:r w:rsidRPr="00F06309">
        <w:rPr>
          <w:rFonts w:ascii="Arial" w:eastAsia="Tahoma" w:hAnsi="Arial" w:cs="Arial"/>
          <w:sz w:val="20"/>
          <w:szCs w:val="20"/>
        </w:rPr>
        <w:t>, en el cual se</w:t>
      </w:r>
      <w:r w:rsidR="00CE1AAD" w:rsidRPr="00CE1AAD">
        <w:rPr>
          <w:rFonts w:ascii="Arial" w:eastAsia="Times New Roman" w:hAnsi="Arial" w:cs="Arial"/>
          <w:sz w:val="20"/>
          <w:szCs w:val="20"/>
        </w:rPr>
        <w:t xml:space="preserve"> amplía el plazo para emitir el instrumento normativo </w:t>
      </w:r>
      <w:r w:rsidR="005E68C3">
        <w:rPr>
          <w:rFonts w:ascii="Arial" w:eastAsia="Times New Roman" w:hAnsi="Arial" w:cs="Arial"/>
          <w:sz w:val="20"/>
          <w:szCs w:val="20"/>
        </w:rPr>
        <w:t>en materia de archivos del Tribunal.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AF02B5"/>
    <w:multiLevelType w:val="multilevel"/>
    <w:tmpl w:val="C26A1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445AB9"/>
    <w:multiLevelType w:val="hybridMultilevel"/>
    <w:tmpl w:val="FF643B78"/>
    <w:lvl w:ilvl="0" w:tplc="09C066A4">
      <w:start w:val="1"/>
      <w:numFmt w:val="lowerRoman"/>
      <w:lvlText w:val="%1."/>
      <w:lvlJc w:val="left"/>
      <w:pPr>
        <w:ind w:left="1800" w:hanging="720"/>
      </w:pPr>
      <w:rPr>
        <w:rFonts w:hint="default"/>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15:restartNumberingAfterBreak="0">
    <w:nsid w:val="37614B43"/>
    <w:multiLevelType w:val="hybridMultilevel"/>
    <w:tmpl w:val="E7E4CB54"/>
    <w:lvl w:ilvl="0" w:tplc="D89684C0">
      <w:start w:val="1"/>
      <w:numFmt w:val="decimal"/>
      <w:lvlText w:val="%1."/>
      <w:lvlJc w:val="left"/>
      <w:pPr>
        <w:ind w:left="720" w:hanging="360"/>
      </w:pPr>
      <w:rPr>
        <w:rFonts w:hint="default"/>
        <w:b w:val="0"/>
        <w:bCs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A5A3EC4"/>
    <w:multiLevelType w:val="hybridMultilevel"/>
    <w:tmpl w:val="8D464024"/>
    <w:lvl w:ilvl="0" w:tplc="1FBAADDE">
      <w:start w:val="1"/>
      <w:numFmt w:val="decimal"/>
      <w:lvlText w:val="%1)"/>
      <w:lvlJc w:val="left"/>
      <w:pPr>
        <w:ind w:left="720" w:hanging="360"/>
      </w:pPr>
      <w:rPr>
        <w:rFonts w:eastAsia="Calibr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7F47D76"/>
    <w:multiLevelType w:val="hybridMultilevel"/>
    <w:tmpl w:val="2E90C038"/>
    <w:lvl w:ilvl="0" w:tplc="1CF0A262">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58685448"/>
    <w:multiLevelType w:val="hybridMultilevel"/>
    <w:tmpl w:val="818422EE"/>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0025D62"/>
    <w:multiLevelType w:val="hybridMultilevel"/>
    <w:tmpl w:val="CCD6B2F2"/>
    <w:lvl w:ilvl="0" w:tplc="840AE34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0117EBE"/>
    <w:multiLevelType w:val="hybridMultilevel"/>
    <w:tmpl w:val="921A7BC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9272134"/>
    <w:multiLevelType w:val="hybridMultilevel"/>
    <w:tmpl w:val="44ACCDA2"/>
    <w:lvl w:ilvl="0" w:tplc="3A7E8600">
      <w:start w:val="3"/>
      <w:numFmt w:val="bullet"/>
      <w:lvlText w:val="-"/>
      <w:lvlJc w:val="left"/>
      <w:pPr>
        <w:ind w:left="1080" w:hanging="360"/>
      </w:pPr>
      <w:rPr>
        <w:rFonts w:ascii="Arial" w:eastAsiaTheme="minorHAnsi"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num w:numId="1" w16cid:durableId="1249461913">
    <w:abstractNumId w:val="4"/>
  </w:num>
  <w:num w:numId="2" w16cid:durableId="2085181133">
    <w:abstractNumId w:val="2"/>
  </w:num>
  <w:num w:numId="3" w16cid:durableId="139857597">
    <w:abstractNumId w:val="3"/>
  </w:num>
  <w:num w:numId="4" w16cid:durableId="1233269604">
    <w:abstractNumId w:val="7"/>
  </w:num>
  <w:num w:numId="5" w16cid:durableId="1207985701">
    <w:abstractNumId w:val="6"/>
  </w:num>
  <w:num w:numId="6" w16cid:durableId="1776629281">
    <w:abstractNumId w:val="5"/>
  </w:num>
  <w:num w:numId="7" w16cid:durableId="98450449">
    <w:abstractNumId w:val="8"/>
  </w:num>
  <w:num w:numId="8" w16cid:durableId="625814900">
    <w:abstractNumId w:val="1"/>
  </w:num>
  <w:num w:numId="9" w16cid:durableId="304091388">
    <w:abstractNumId w:val="0"/>
    <w:lvlOverride w:ilvl="0">
      <w:lvl w:ilvl="0">
        <w:numFmt w:val="lowerLetter"/>
        <w:lvlText w:val="%1."/>
        <w:lvlJc w:val="left"/>
        <w:rPr>
          <w:b/>
          <w:bCs w:val="0"/>
        </w:rPr>
      </w:lvl>
    </w:lvlOverride>
  </w:num>
  <w:num w:numId="10" w16cid:durableId="2030108871">
    <w:abstractNumId w:val="0"/>
    <w:lvlOverride w:ilvl="0">
      <w:lvl w:ilvl="0">
        <w:numFmt w:val="lowerLetter"/>
        <w:lvlText w:val="%1."/>
        <w:lvlJc w:val="left"/>
        <w:rPr>
          <w:b/>
          <w:bCs w:val="0"/>
        </w:rPr>
      </w:lvl>
    </w:lvlOverride>
  </w:num>
  <w:num w:numId="11" w16cid:durableId="1411344974">
    <w:abstractNumId w:val="0"/>
    <w:lvlOverride w:ilvl="0">
      <w:lvl w:ilvl="0">
        <w:numFmt w:val="lowerLetter"/>
        <w:lvlText w:val="%1."/>
        <w:lvlJc w:val="left"/>
        <w:rPr>
          <w:b/>
          <w:bCs w:val="0"/>
        </w:rPr>
      </w:lvl>
    </w:lvlOverride>
  </w:num>
  <w:num w:numId="12" w16cid:durableId="1393119138">
    <w:abstractNumId w:val="0"/>
    <w:lvlOverride w:ilvl="0">
      <w:lvl w:ilvl="0">
        <w:numFmt w:val="lowerLetter"/>
        <w:lvlText w:val="%1."/>
        <w:lvlJc w:val="left"/>
        <w:rPr>
          <w:b/>
          <w:bCs w:val="0"/>
        </w:rPr>
      </w:lvl>
    </w:lvlOverride>
  </w:num>
  <w:num w:numId="13" w16cid:durableId="1377850753">
    <w:abstractNumId w:val="0"/>
    <w:lvlOverride w:ilvl="0">
      <w:lvl w:ilvl="0">
        <w:numFmt w:val="lowerLetter"/>
        <w:lvlText w:val="%1."/>
        <w:lvlJc w:val="left"/>
        <w:rPr>
          <w:b/>
          <w:bCs w:val="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0C5"/>
    <w:rsid w:val="00013D82"/>
    <w:rsid w:val="00015D01"/>
    <w:rsid w:val="0002051C"/>
    <w:rsid w:val="00020EC5"/>
    <w:rsid w:val="00033C55"/>
    <w:rsid w:val="00041EB9"/>
    <w:rsid w:val="0004371C"/>
    <w:rsid w:val="00070F6E"/>
    <w:rsid w:val="000722CD"/>
    <w:rsid w:val="00075A05"/>
    <w:rsid w:val="00075D31"/>
    <w:rsid w:val="000761D5"/>
    <w:rsid w:val="00077F16"/>
    <w:rsid w:val="00083C9F"/>
    <w:rsid w:val="00091B5D"/>
    <w:rsid w:val="0009490A"/>
    <w:rsid w:val="000A0E44"/>
    <w:rsid w:val="000B3BB6"/>
    <w:rsid w:val="000B73D8"/>
    <w:rsid w:val="000C7F13"/>
    <w:rsid w:val="000D4570"/>
    <w:rsid w:val="000D671F"/>
    <w:rsid w:val="000E02CB"/>
    <w:rsid w:val="000E3E70"/>
    <w:rsid w:val="000F13FA"/>
    <w:rsid w:val="000F42B7"/>
    <w:rsid w:val="0010083E"/>
    <w:rsid w:val="0010340A"/>
    <w:rsid w:val="00121FB3"/>
    <w:rsid w:val="0012478C"/>
    <w:rsid w:val="00132850"/>
    <w:rsid w:val="00136691"/>
    <w:rsid w:val="00142A42"/>
    <w:rsid w:val="00165672"/>
    <w:rsid w:val="00173090"/>
    <w:rsid w:val="001864B0"/>
    <w:rsid w:val="001912C9"/>
    <w:rsid w:val="00194CF2"/>
    <w:rsid w:val="001B2BE3"/>
    <w:rsid w:val="001B7A1D"/>
    <w:rsid w:val="001C2955"/>
    <w:rsid w:val="001C7BEB"/>
    <w:rsid w:val="001D4048"/>
    <w:rsid w:val="001F7C0E"/>
    <w:rsid w:val="00211B9F"/>
    <w:rsid w:val="00212532"/>
    <w:rsid w:val="00213FDB"/>
    <w:rsid w:val="002151DB"/>
    <w:rsid w:val="00222FE9"/>
    <w:rsid w:val="00223E3D"/>
    <w:rsid w:val="002358B3"/>
    <w:rsid w:val="002410CC"/>
    <w:rsid w:val="002502ED"/>
    <w:rsid w:val="00272A22"/>
    <w:rsid w:val="0027388F"/>
    <w:rsid w:val="00294A09"/>
    <w:rsid w:val="00297128"/>
    <w:rsid w:val="002A0926"/>
    <w:rsid w:val="002B3147"/>
    <w:rsid w:val="002B48F7"/>
    <w:rsid w:val="002B551C"/>
    <w:rsid w:val="002B6CCE"/>
    <w:rsid w:val="002C4B6A"/>
    <w:rsid w:val="002F3D3B"/>
    <w:rsid w:val="00301803"/>
    <w:rsid w:val="00304B93"/>
    <w:rsid w:val="0031132D"/>
    <w:rsid w:val="00316E6A"/>
    <w:rsid w:val="00317185"/>
    <w:rsid w:val="00322FF9"/>
    <w:rsid w:val="00323447"/>
    <w:rsid w:val="003304B4"/>
    <w:rsid w:val="0033294E"/>
    <w:rsid w:val="00333A67"/>
    <w:rsid w:val="00337547"/>
    <w:rsid w:val="003465ED"/>
    <w:rsid w:val="00350E50"/>
    <w:rsid w:val="00352050"/>
    <w:rsid w:val="003547BD"/>
    <w:rsid w:val="00360053"/>
    <w:rsid w:val="0037633F"/>
    <w:rsid w:val="00376CC7"/>
    <w:rsid w:val="003921DD"/>
    <w:rsid w:val="003A1205"/>
    <w:rsid w:val="003B7967"/>
    <w:rsid w:val="003C0DF6"/>
    <w:rsid w:val="003C0E58"/>
    <w:rsid w:val="003C2A1F"/>
    <w:rsid w:val="003C2E5D"/>
    <w:rsid w:val="003C78A3"/>
    <w:rsid w:val="003D2E78"/>
    <w:rsid w:val="003D7FE4"/>
    <w:rsid w:val="003E52E6"/>
    <w:rsid w:val="003E6AFA"/>
    <w:rsid w:val="003F4F40"/>
    <w:rsid w:val="003F570F"/>
    <w:rsid w:val="003F6454"/>
    <w:rsid w:val="003F74CA"/>
    <w:rsid w:val="0042093E"/>
    <w:rsid w:val="00427FA8"/>
    <w:rsid w:val="00430764"/>
    <w:rsid w:val="00430BF0"/>
    <w:rsid w:val="004359A0"/>
    <w:rsid w:val="00450C0F"/>
    <w:rsid w:val="00463A4A"/>
    <w:rsid w:val="00463AA3"/>
    <w:rsid w:val="004717A9"/>
    <w:rsid w:val="00475610"/>
    <w:rsid w:val="00476E41"/>
    <w:rsid w:val="00481EFA"/>
    <w:rsid w:val="004827A9"/>
    <w:rsid w:val="0048306E"/>
    <w:rsid w:val="00484B9E"/>
    <w:rsid w:val="00493CD7"/>
    <w:rsid w:val="00494005"/>
    <w:rsid w:val="00497C2D"/>
    <w:rsid w:val="004A6CF8"/>
    <w:rsid w:val="004B1048"/>
    <w:rsid w:val="004C037A"/>
    <w:rsid w:val="004C243D"/>
    <w:rsid w:val="004D3CE5"/>
    <w:rsid w:val="004D51F3"/>
    <w:rsid w:val="004E43FA"/>
    <w:rsid w:val="004F5F62"/>
    <w:rsid w:val="00514107"/>
    <w:rsid w:val="005141B1"/>
    <w:rsid w:val="0051500E"/>
    <w:rsid w:val="0052440E"/>
    <w:rsid w:val="005249A2"/>
    <w:rsid w:val="00530D3C"/>
    <w:rsid w:val="00532BCB"/>
    <w:rsid w:val="00533134"/>
    <w:rsid w:val="00537EAF"/>
    <w:rsid w:val="0054186A"/>
    <w:rsid w:val="00541A55"/>
    <w:rsid w:val="00545FD9"/>
    <w:rsid w:val="00546A0F"/>
    <w:rsid w:val="00551A76"/>
    <w:rsid w:val="00552FFD"/>
    <w:rsid w:val="005559A7"/>
    <w:rsid w:val="00557B4A"/>
    <w:rsid w:val="00560D29"/>
    <w:rsid w:val="005613D6"/>
    <w:rsid w:val="00561733"/>
    <w:rsid w:val="0056784F"/>
    <w:rsid w:val="0057703B"/>
    <w:rsid w:val="00584185"/>
    <w:rsid w:val="005A6445"/>
    <w:rsid w:val="005C0299"/>
    <w:rsid w:val="005C1A87"/>
    <w:rsid w:val="005C5300"/>
    <w:rsid w:val="005D22A9"/>
    <w:rsid w:val="005D6944"/>
    <w:rsid w:val="005E68C3"/>
    <w:rsid w:val="005F0AAF"/>
    <w:rsid w:val="005F0EF7"/>
    <w:rsid w:val="005F1E4D"/>
    <w:rsid w:val="005F38B7"/>
    <w:rsid w:val="005F4C4A"/>
    <w:rsid w:val="00603AA0"/>
    <w:rsid w:val="00604978"/>
    <w:rsid w:val="006078F4"/>
    <w:rsid w:val="00622B1C"/>
    <w:rsid w:val="006236BA"/>
    <w:rsid w:val="00633C08"/>
    <w:rsid w:val="006350A8"/>
    <w:rsid w:val="00641723"/>
    <w:rsid w:val="0064295E"/>
    <w:rsid w:val="006479E0"/>
    <w:rsid w:val="0065052D"/>
    <w:rsid w:val="0065330D"/>
    <w:rsid w:val="0065630C"/>
    <w:rsid w:val="0066075E"/>
    <w:rsid w:val="00666A97"/>
    <w:rsid w:val="00671F2C"/>
    <w:rsid w:val="00673866"/>
    <w:rsid w:val="006842C3"/>
    <w:rsid w:val="0069111C"/>
    <w:rsid w:val="00692497"/>
    <w:rsid w:val="006949FB"/>
    <w:rsid w:val="006954B6"/>
    <w:rsid w:val="00696B3D"/>
    <w:rsid w:val="006A3640"/>
    <w:rsid w:val="006A3FCA"/>
    <w:rsid w:val="006A4E9F"/>
    <w:rsid w:val="006E3141"/>
    <w:rsid w:val="006E370C"/>
    <w:rsid w:val="006F27A9"/>
    <w:rsid w:val="006F6FB9"/>
    <w:rsid w:val="007039DE"/>
    <w:rsid w:val="00706F37"/>
    <w:rsid w:val="007101BD"/>
    <w:rsid w:val="00712F70"/>
    <w:rsid w:val="00716D4E"/>
    <w:rsid w:val="0072466B"/>
    <w:rsid w:val="00740F63"/>
    <w:rsid w:val="0074317F"/>
    <w:rsid w:val="007435D4"/>
    <w:rsid w:val="00744E2C"/>
    <w:rsid w:val="00772A79"/>
    <w:rsid w:val="0078202F"/>
    <w:rsid w:val="00795333"/>
    <w:rsid w:val="007A1855"/>
    <w:rsid w:val="007A29C5"/>
    <w:rsid w:val="007A54FB"/>
    <w:rsid w:val="007A5B83"/>
    <w:rsid w:val="007C3B2B"/>
    <w:rsid w:val="007C7517"/>
    <w:rsid w:val="00800C68"/>
    <w:rsid w:val="00802A7A"/>
    <w:rsid w:val="00805741"/>
    <w:rsid w:val="008106DF"/>
    <w:rsid w:val="008131B1"/>
    <w:rsid w:val="00813773"/>
    <w:rsid w:val="0081427D"/>
    <w:rsid w:val="00820C70"/>
    <w:rsid w:val="00821738"/>
    <w:rsid w:val="00821AAA"/>
    <w:rsid w:val="00823CC7"/>
    <w:rsid w:val="00825027"/>
    <w:rsid w:val="00825595"/>
    <w:rsid w:val="00836EDD"/>
    <w:rsid w:val="00845E46"/>
    <w:rsid w:val="0084713A"/>
    <w:rsid w:val="00867110"/>
    <w:rsid w:val="00870067"/>
    <w:rsid w:val="00872889"/>
    <w:rsid w:val="00886BD0"/>
    <w:rsid w:val="0089079C"/>
    <w:rsid w:val="008A23B6"/>
    <w:rsid w:val="008A38AD"/>
    <w:rsid w:val="008B4C66"/>
    <w:rsid w:val="008D493D"/>
    <w:rsid w:val="008E5046"/>
    <w:rsid w:val="008F1EAF"/>
    <w:rsid w:val="00904AF8"/>
    <w:rsid w:val="00905146"/>
    <w:rsid w:val="009152C9"/>
    <w:rsid w:val="0092039D"/>
    <w:rsid w:val="00922545"/>
    <w:rsid w:val="009261DD"/>
    <w:rsid w:val="00930CC1"/>
    <w:rsid w:val="00932B91"/>
    <w:rsid w:val="0095162A"/>
    <w:rsid w:val="00956285"/>
    <w:rsid w:val="00972539"/>
    <w:rsid w:val="00976BB2"/>
    <w:rsid w:val="00997B3E"/>
    <w:rsid w:val="009A159C"/>
    <w:rsid w:val="009B4CF4"/>
    <w:rsid w:val="009B6136"/>
    <w:rsid w:val="009B74D5"/>
    <w:rsid w:val="009C3AC7"/>
    <w:rsid w:val="009C4AC6"/>
    <w:rsid w:val="009D18AD"/>
    <w:rsid w:val="009D3758"/>
    <w:rsid w:val="009D3823"/>
    <w:rsid w:val="009F7293"/>
    <w:rsid w:val="00A13132"/>
    <w:rsid w:val="00A131C8"/>
    <w:rsid w:val="00A16C07"/>
    <w:rsid w:val="00A16D05"/>
    <w:rsid w:val="00A17114"/>
    <w:rsid w:val="00A2584B"/>
    <w:rsid w:val="00A328FE"/>
    <w:rsid w:val="00A33372"/>
    <w:rsid w:val="00A40B5D"/>
    <w:rsid w:val="00A46716"/>
    <w:rsid w:val="00A5156E"/>
    <w:rsid w:val="00A5193A"/>
    <w:rsid w:val="00A81818"/>
    <w:rsid w:val="00A86F39"/>
    <w:rsid w:val="00AB1A0E"/>
    <w:rsid w:val="00AB3DF5"/>
    <w:rsid w:val="00AD46E4"/>
    <w:rsid w:val="00AD5445"/>
    <w:rsid w:val="00AD6EC0"/>
    <w:rsid w:val="00AE1CAE"/>
    <w:rsid w:val="00AF4CB8"/>
    <w:rsid w:val="00B00A1C"/>
    <w:rsid w:val="00B0111F"/>
    <w:rsid w:val="00B032EF"/>
    <w:rsid w:val="00B12F1C"/>
    <w:rsid w:val="00B22628"/>
    <w:rsid w:val="00B277D3"/>
    <w:rsid w:val="00B3517E"/>
    <w:rsid w:val="00B360AC"/>
    <w:rsid w:val="00B514F8"/>
    <w:rsid w:val="00B5595F"/>
    <w:rsid w:val="00B574EA"/>
    <w:rsid w:val="00B57A79"/>
    <w:rsid w:val="00B6171B"/>
    <w:rsid w:val="00B64310"/>
    <w:rsid w:val="00B6518D"/>
    <w:rsid w:val="00B72BA4"/>
    <w:rsid w:val="00B811BA"/>
    <w:rsid w:val="00B8301E"/>
    <w:rsid w:val="00B90AC2"/>
    <w:rsid w:val="00B96238"/>
    <w:rsid w:val="00B9774B"/>
    <w:rsid w:val="00BA2D67"/>
    <w:rsid w:val="00BB233B"/>
    <w:rsid w:val="00BB37D3"/>
    <w:rsid w:val="00BC4046"/>
    <w:rsid w:val="00BD1F2B"/>
    <w:rsid w:val="00BD20C6"/>
    <w:rsid w:val="00BD2F01"/>
    <w:rsid w:val="00BE0307"/>
    <w:rsid w:val="00BE21AF"/>
    <w:rsid w:val="00BE7E3C"/>
    <w:rsid w:val="00BF053A"/>
    <w:rsid w:val="00BF3922"/>
    <w:rsid w:val="00C0016D"/>
    <w:rsid w:val="00C05A87"/>
    <w:rsid w:val="00C0701A"/>
    <w:rsid w:val="00C07CDC"/>
    <w:rsid w:val="00C147FA"/>
    <w:rsid w:val="00C15E2E"/>
    <w:rsid w:val="00C276C2"/>
    <w:rsid w:val="00C335A2"/>
    <w:rsid w:val="00C4603A"/>
    <w:rsid w:val="00C47DD0"/>
    <w:rsid w:val="00C56C09"/>
    <w:rsid w:val="00C576F9"/>
    <w:rsid w:val="00C63B26"/>
    <w:rsid w:val="00C713E1"/>
    <w:rsid w:val="00C74C5B"/>
    <w:rsid w:val="00C755E4"/>
    <w:rsid w:val="00C819CE"/>
    <w:rsid w:val="00C8332A"/>
    <w:rsid w:val="00C850F4"/>
    <w:rsid w:val="00C86315"/>
    <w:rsid w:val="00C9185B"/>
    <w:rsid w:val="00C91EE1"/>
    <w:rsid w:val="00C925A6"/>
    <w:rsid w:val="00CA3EDC"/>
    <w:rsid w:val="00CB1148"/>
    <w:rsid w:val="00CB1A2F"/>
    <w:rsid w:val="00CB2A46"/>
    <w:rsid w:val="00CB5570"/>
    <w:rsid w:val="00CD1DB1"/>
    <w:rsid w:val="00CE1AAD"/>
    <w:rsid w:val="00CE49DF"/>
    <w:rsid w:val="00CE71E8"/>
    <w:rsid w:val="00D1445A"/>
    <w:rsid w:val="00D24D64"/>
    <w:rsid w:val="00D256B5"/>
    <w:rsid w:val="00D40E98"/>
    <w:rsid w:val="00D44DCA"/>
    <w:rsid w:val="00D45298"/>
    <w:rsid w:val="00D50E36"/>
    <w:rsid w:val="00D52130"/>
    <w:rsid w:val="00D53388"/>
    <w:rsid w:val="00D61672"/>
    <w:rsid w:val="00D64EF2"/>
    <w:rsid w:val="00D73214"/>
    <w:rsid w:val="00D8426B"/>
    <w:rsid w:val="00D842B9"/>
    <w:rsid w:val="00D9336D"/>
    <w:rsid w:val="00D96FBB"/>
    <w:rsid w:val="00DB1EE1"/>
    <w:rsid w:val="00DC0727"/>
    <w:rsid w:val="00DC1B29"/>
    <w:rsid w:val="00DC286C"/>
    <w:rsid w:val="00DC43AF"/>
    <w:rsid w:val="00DC597E"/>
    <w:rsid w:val="00DC5AA4"/>
    <w:rsid w:val="00DD6554"/>
    <w:rsid w:val="00DE50C5"/>
    <w:rsid w:val="00E00360"/>
    <w:rsid w:val="00E1089C"/>
    <w:rsid w:val="00E12B40"/>
    <w:rsid w:val="00E169A5"/>
    <w:rsid w:val="00E203C8"/>
    <w:rsid w:val="00E233A2"/>
    <w:rsid w:val="00E243E2"/>
    <w:rsid w:val="00E30E76"/>
    <w:rsid w:val="00E40467"/>
    <w:rsid w:val="00E4097A"/>
    <w:rsid w:val="00E570DC"/>
    <w:rsid w:val="00E57220"/>
    <w:rsid w:val="00E610C8"/>
    <w:rsid w:val="00E72E16"/>
    <w:rsid w:val="00E93F83"/>
    <w:rsid w:val="00EB51AE"/>
    <w:rsid w:val="00EB631B"/>
    <w:rsid w:val="00EB7934"/>
    <w:rsid w:val="00EC19C2"/>
    <w:rsid w:val="00EC2776"/>
    <w:rsid w:val="00EC2F3C"/>
    <w:rsid w:val="00EF2DAB"/>
    <w:rsid w:val="00F05A6C"/>
    <w:rsid w:val="00F06309"/>
    <w:rsid w:val="00F07D97"/>
    <w:rsid w:val="00F23BCE"/>
    <w:rsid w:val="00F3362E"/>
    <w:rsid w:val="00F37822"/>
    <w:rsid w:val="00F46163"/>
    <w:rsid w:val="00F63C4C"/>
    <w:rsid w:val="00F64946"/>
    <w:rsid w:val="00F64BE1"/>
    <w:rsid w:val="00F65932"/>
    <w:rsid w:val="00F6642C"/>
    <w:rsid w:val="00F82B1B"/>
    <w:rsid w:val="00FA289B"/>
    <w:rsid w:val="00FB3659"/>
    <w:rsid w:val="00FC1B05"/>
    <w:rsid w:val="00FC247A"/>
    <w:rsid w:val="00FC637F"/>
    <w:rsid w:val="00FD0AB9"/>
    <w:rsid w:val="00FD14A7"/>
    <w:rsid w:val="00FD4C08"/>
    <w:rsid w:val="00FD5073"/>
    <w:rsid w:val="00FE4F12"/>
    <w:rsid w:val="00FF14C5"/>
    <w:rsid w:val="00FF3079"/>
    <w:rsid w:val="00FF78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4B75F"/>
  <w15:chartTrackingRefBased/>
  <w15:docId w15:val="{54EA94A3-D27C-4F56-A066-220BABBE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90A"/>
    <w:pPr>
      <w:spacing w:after="200" w:line="276" w:lineRule="auto"/>
    </w:pPr>
    <w:rPr>
      <w:kern w:val="0"/>
      <w:lang w:val="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DE50C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Car,Footnote Text Char Char Char Char Char,Footnote Text Char Char Char Char,Footnote reference,FA Fu,Footnote Text Char Char Char,Footnote Text Cha,FA Fußnotentext,FA Fuﬂnotentext,Footnote Text Char Char,Car Car Car,FA Fu?notentext,Ca, C"/>
    <w:basedOn w:val="Normal"/>
    <w:link w:val="TextonotapieCar"/>
    <w:qFormat/>
    <w:rsid w:val="00DE50C5"/>
    <w:pPr>
      <w:spacing w:after="0" w:line="240" w:lineRule="auto"/>
    </w:pPr>
    <w:rPr>
      <w:rFonts w:ascii="Times New Roman" w:eastAsia="Times New Roman" w:hAnsi="Times New Roman" w:cs="Times New Roman"/>
      <w:sz w:val="20"/>
      <w:szCs w:val="20"/>
      <w:lang w:val="es-MX" w:eastAsia="es-MX"/>
    </w:rPr>
  </w:style>
  <w:style w:type="character" w:customStyle="1" w:styleId="TextonotapieCar">
    <w:name w:val="Texto nota pie Car"/>
    <w:aliases w:val="Car Car,Footnote Text Char Char Char Char Char Car,Footnote Text Char Char Char Char Car,Footnote reference Car,FA Fu Car,Footnote Text Char Char Char Car,Footnote Text Cha Car,FA Fußnotentext Car,FA Fuﬂnotentext Car,Car Car Car Car"/>
    <w:basedOn w:val="Fuentedeprrafopredeter"/>
    <w:link w:val="Textonotapie"/>
    <w:rsid w:val="00DE50C5"/>
    <w:rPr>
      <w:rFonts w:ascii="Times New Roman" w:eastAsia="Times New Roman" w:hAnsi="Times New Roman" w:cs="Times New Roman"/>
      <w:kern w:val="0"/>
      <w:sz w:val="20"/>
      <w:szCs w:val="20"/>
      <w:lang w:eastAsia="es-MX"/>
      <w14:ligatures w14:val="none"/>
    </w:rPr>
  </w:style>
  <w:style w:type="character" w:styleId="Refdenotaalpie">
    <w:name w:val="footnote reference"/>
    <w:aliases w:val="Footnotes refss,Texto de nota al pie,Ref. de nota al pie 2,Appel note de bas de page,Footnote number,referencia nota al pie,BVI fnr,f,4_G,16 Point,Superscript 6 Point,Texto nota al pie,Footnote Reference Char3,ftref,Stinking Styles,R"/>
    <w:qFormat/>
    <w:rsid w:val="00DE50C5"/>
    <w:rPr>
      <w:vertAlign w:val="superscript"/>
    </w:rPr>
  </w:style>
  <w:style w:type="paragraph" w:customStyle="1" w:styleId="Style2">
    <w:name w:val="Style 2"/>
    <w:basedOn w:val="Normal"/>
    <w:uiPriority w:val="99"/>
    <w:rsid w:val="00DE50C5"/>
    <w:pPr>
      <w:widowControl w:val="0"/>
      <w:autoSpaceDE w:val="0"/>
      <w:autoSpaceDN w:val="0"/>
      <w:spacing w:before="216" w:after="0" w:line="288" w:lineRule="auto"/>
      <w:jc w:val="both"/>
    </w:pPr>
    <w:rPr>
      <w:rFonts w:ascii="Arial" w:eastAsia="Times New Roman" w:hAnsi="Arial" w:cs="Arial"/>
      <w:sz w:val="23"/>
      <w:szCs w:val="23"/>
      <w:lang w:val="en-US" w:eastAsia="es-MX"/>
    </w:rPr>
  </w:style>
  <w:style w:type="character" w:customStyle="1" w:styleId="CharacterStyle1">
    <w:name w:val="Character Style 1"/>
    <w:uiPriority w:val="99"/>
    <w:rsid w:val="00DE50C5"/>
    <w:rPr>
      <w:rFonts w:ascii="Arial" w:hAnsi="Arial" w:cs="Arial"/>
      <w:sz w:val="23"/>
      <w:szCs w:val="23"/>
    </w:rPr>
  </w:style>
  <w:style w:type="paragraph" w:styleId="Prrafodelista">
    <w:name w:val="List Paragraph"/>
    <w:aliases w:val="Párrafo de lista1,List Paragraph2,List Paragraph1,Colorful List - Accent 11,Lista vistosa - Énfasis 11"/>
    <w:basedOn w:val="Normal"/>
    <w:link w:val="PrrafodelistaCar"/>
    <w:uiPriority w:val="34"/>
    <w:qFormat/>
    <w:rsid w:val="00DE50C5"/>
    <w:pPr>
      <w:ind w:left="720"/>
      <w:contextualSpacing/>
    </w:pPr>
  </w:style>
  <w:style w:type="character" w:customStyle="1" w:styleId="PrrafodelistaCar">
    <w:name w:val="Párrafo de lista Car"/>
    <w:aliases w:val="Párrafo de lista1 Car,List Paragraph2 Car,List Paragraph1 Car,Colorful List - Accent 11 Car,Lista vistosa - Énfasis 11 Car"/>
    <w:basedOn w:val="Fuentedeprrafopredeter"/>
    <w:link w:val="Prrafodelista"/>
    <w:uiPriority w:val="34"/>
    <w:locked/>
    <w:rsid w:val="00DE50C5"/>
    <w:rPr>
      <w:kern w:val="0"/>
      <w:lang w:val="es-ES_tradnl"/>
      <w14:ligatures w14:val="none"/>
    </w:rPr>
  </w:style>
  <w:style w:type="paragraph" w:styleId="Encabezado">
    <w:name w:val="header"/>
    <w:basedOn w:val="Normal"/>
    <w:link w:val="EncabezadoCar"/>
    <w:uiPriority w:val="99"/>
    <w:unhideWhenUsed/>
    <w:rsid w:val="00C74C5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74C5B"/>
    <w:rPr>
      <w:kern w:val="0"/>
      <w:lang w:val="es-ES_tradnl"/>
      <w14:ligatures w14:val="none"/>
    </w:rPr>
  </w:style>
  <w:style w:type="paragraph" w:styleId="Piedepgina">
    <w:name w:val="footer"/>
    <w:basedOn w:val="Normal"/>
    <w:link w:val="PiedepginaCar"/>
    <w:uiPriority w:val="99"/>
    <w:unhideWhenUsed/>
    <w:rsid w:val="00C74C5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74C5B"/>
    <w:rPr>
      <w:kern w:val="0"/>
      <w:lang w:val="es-ES_tradnl"/>
      <w14:ligatures w14:val="none"/>
    </w:rPr>
  </w:style>
  <w:style w:type="character" w:customStyle="1" w:styleId="citation-213">
    <w:name w:val="citation-213"/>
    <w:basedOn w:val="Fuentedeprrafopredeter"/>
    <w:rsid w:val="00CE49DF"/>
  </w:style>
  <w:style w:type="paragraph" w:styleId="NormalWeb">
    <w:name w:val="Normal (Web)"/>
    <w:basedOn w:val="Normal"/>
    <w:uiPriority w:val="99"/>
    <w:unhideWhenUsed/>
    <w:rsid w:val="00A8181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itation-212">
    <w:name w:val="citation-212"/>
    <w:basedOn w:val="Fuentedeprrafopredeter"/>
    <w:rsid w:val="00A81818"/>
  </w:style>
  <w:style w:type="character" w:customStyle="1" w:styleId="citation-210">
    <w:name w:val="citation-210"/>
    <w:basedOn w:val="Fuentedeprrafopredeter"/>
    <w:rsid w:val="00A81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B7274-35D8-40A4-AF20-2C4CCDAA1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1158</Words>
  <Characters>6369</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TEJA Chihuahua</dc:creator>
  <cp:keywords/>
  <dc:description/>
  <cp:lastModifiedBy>Tercera Sala</cp:lastModifiedBy>
  <cp:revision>4</cp:revision>
  <cp:lastPrinted>2026-02-25T16:04:00Z</cp:lastPrinted>
  <dcterms:created xsi:type="dcterms:W3CDTF">2026-06-19T16:55:00Z</dcterms:created>
  <dcterms:modified xsi:type="dcterms:W3CDTF">2026-06-19T17:55:00Z</dcterms:modified>
</cp:coreProperties>
</file>