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063A64EB"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06</w:t>
      </w:r>
      <w:r w:rsidR="003D1941">
        <w:rPr>
          <w:rFonts w:ascii="Arial" w:hAnsi="Arial" w:cs="Arial"/>
          <w:b/>
          <w:sz w:val="26"/>
          <w:szCs w:val="26"/>
        </w:rPr>
        <w:t>6</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4C8CAD81"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003D1941">
        <w:rPr>
          <w:rFonts w:ascii="Arial" w:hAnsi="Arial" w:cs="Arial"/>
          <w:sz w:val="24"/>
          <w:szCs w:val="24"/>
        </w:rPr>
        <w:t>aprueba la modificación al calendario oficial de labores del Tribunal.</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76780634" w:rsidR="005249A2" w:rsidRPr="005249A2" w:rsidRDefault="00DE50C5" w:rsidP="00866835">
      <w:pPr>
        <w:spacing w:after="0" w:line="360" w:lineRule="auto"/>
        <w:ind w:firstLine="709"/>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w:t>
      </w:r>
      <w:r w:rsidR="0002051C">
        <w:rPr>
          <w:rFonts w:ascii="Arial" w:hAnsi="Arial" w:cs="Arial"/>
          <w:sz w:val="24"/>
          <w:szCs w:val="24"/>
        </w:rPr>
        <w:t xml:space="preserve"> </w:t>
      </w:r>
      <w:r w:rsidR="003D1941" w:rsidRPr="003D1941">
        <w:rPr>
          <w:rFonts w:ascii="Arial" w:hAnsi="Arial" w:cs="Arial"/>
          <w:sz w:val="24"/>
          <w:szCs w:val="24"/>
        </w:rPr>
        <w:t>se aprueba la modificación del calendario oficial de labores del Tribunal Estatal de Justicia Administrativa, correspondiente al año dos mil veintiséis y enero de dos mil veintisiete</w:t>
      </w:r>
      <w:r w:rsidR="003D1941">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866835">
      <w:pPr>
        <w:spacing w:after="0" w:line="360" w:lineRule="auto"/>
        <w:ind w:firstLine="709"/>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866835">
      <w:pPr>
        <w:spacing w:before="100" w:beforeAutospacing="1" w:after="100" w:afterAutospacing="1" w:line="360" w:lineRule="auto"/>
        <w:ind w:firstLine="709"/>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w:t>
      </w:r>
      <w:r w:rsidRPr="007A0D81">
        <w:rPr>
          <w:rFonts w:ascii="Arial" w:hAnsi="Arial" w:cs="Arial"/>
          <w:sz w:val="24"/>
          <w:szCs w:val="24"/>
        </w:rPr>
        <w:lastRenderedPageBreak/>
        <w:t>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t>Asimismo, instruye que será en la ley donde se establecerá su organización, funcionamiento, integración, procedimientos y, en su caso, recursos contra sus resoluciones.</w:t>
      </w:r>
    </w:p>
    <w:p w14:paraId="23E19079" w14:textId="76C94D94" w:rsidR="0064295E" w:rsidRDefault="00F64946" w:rsidP="00866835">
      <w:pPr>
        <w:spacing w:after="0" w:line="360" w:lineRule="auto"/>
        <w:ind w:firstLine="709"/>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31CB7477" w14:textId="0E8DCD18" w:rsidR="00641723" w:rsidRPr="007A0D81" w:rsidRDefault="009B4CF4" w:rsidP="00866835">
      <w:pPr>
        <w:spacing w:after="0" w:line="360" w:lineRule="auto"/>
        <w:ind w:firstLine="709"/>
        <w:jc w:val="both"/>
        <w:rPr>
          <w:rFonts w:ascii="Arial" w:hAnsi="Arial" w:cs="Arial"/>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w:t>
      </w:r>
      <w:r w:rsidR="003D1941">
        <w:rPr>
          <w:rFonts w:ascii="Arial" w:hAnsi="Arial" w:cs="Arial"/>
          <w:b/>
          <w:sz w:val="24"/>
          <w:szCs w:val="24"/>
        </w:rPr>
        <w:t>Facultades</w:t>
      </w:r>
      <w:r w:rsidR="0089079C">
        <w:rPr>
          <w:rFonts w:ascii="Arial" w:hAnsi="Arial" w:cs="Arial"/>
          <w:b/>
          <w:sz w:val="24"/>
          <w:szCs w:val="24"/>
        </w:rPr>
        <w:t xml:space="preserve"> del Pleno </w:t>
      </w:r>
      <w:r w:rsidR="003D1941">
        <w:rPr>
          <w:rFonts w:ascii="Arial" w:hAnsi="Arial" w:cs="Arial"/>
          <w:b/>
          <w:sz w:val="24"/>
          <w:szCs w:val="24"/>
        </w:rPr>
        <w:t>del Tribunal</w:t>
      </w:r>
      <w:r w:rsidR="0089079C">
        <w:rPr>
          <w:rFonts w:ascii="Arial" w:hAnsi="Arial" w:cs="Arial"/>
          <w:b/>
          <w:sz w:val="24"/>
          <w:szCs w:val="24"/>
        </w:rPr>
        <w:t>.</w:t>
      </w:r>
      <w:r w:rsidR="00083C9F">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70E44AF4" w14:textId="77777777" w:rsidR="003D1941" w:rsidRDefault="003D1941" w:rsidP="004D5EF3">
      <w:pPr>
        <w:spacing w:after="0" w:line="360" w:lineRule="auto"/>
        <w:ind w:firstLine="708"/>
        <w:jc w:val="both"/>
        <w:rPr>
          <w:rFonts w:ascii="Arial" w:hAnsi="Arial" w:cs="Arial"/>
          <w:sz w:val="24"/>
          <w:szCs w:val="24"/>
        </w:rPr>
      </w:pPr>
    </w:p>
    <w:p w14:paraId="4BC70EEE" w14:textId="4FB1602B" w:rsidR="003D1941" w:rsidRPr="00422A6C" w:rsidRDefault="003D1941" w:rsidP="00866835">
      <w:pPr>
        <w:spacing w:after="0" w:line="360" w:lineRule="auto"/>
        <w:ind w:firstLine="709"/>
        <w:jc w:val="both"/>
        <w:rPr>
          <w:rFonts w:ascii="Arial" w:hAnsi="Arial" w:cs="Arial"/>
          <w:bCs/>
          <w:sz w:val="25"/>
          <w:szCs w:val="25"/>
        </w:rPr>
      </w:pPr>
      <w:r>
        <w:rPr>
          <w:rFonts w:ascii="Arial" w:hAnsi="Arial" w:cs="Arial"/>
          <w:b/>
          <w:sz w:val="25"/>
          <w:szCs w:val="25"/>
        </w:rPr>
        <w:t>V</w:t>
      </w:r>
      <w:r w:rsidRPr="00422A6C">
        <w:rPr>
          <w:rFonts w:ascii="Arial" w:hAnsi="Arial" w:cs="Arial"/>
          <w:b/>
          <w:sz w:val="25"/>
          <w:szCs w:val="25"/>
        </w:rPr>
        <w:t>. Disposiciones relativas al calendario oficial de labores.</w:t>
      </w:r>
      <w:r w:rsidRPr="00422A6C">
        <w:rPr>
          <w:rFonts w:ascii="Arial" w:hAnsi="Arial" w:cs="Arial"/>
          <w:bCs/>
          <w:sz w:val="25"/>
          <w:szCs w:val="25"/>
        </w:rPr>
        <w:t xml:space="preserve"> Mediante el </w:t>
      </w:r>
      <w:r w:rsidRPr="00422A6C">
        <w:rPr>
          <w:rFonts w:ascii="Arial" w:hAnsi="Arial" w:cs="Arial"/>
          <w:b/>
          <w:i/>
          <w:iCs/>
          <w:sz w:val="25"/>
          <w:szCs w:val="25"/>
        </w:rPr>
        <w:t>ACUERDO PLENO 00</w:t>
      </w:r>
      <w:r>
        <w:rPr>
          <w:rFonts w:ascii="Arial" w:hAnsi="Arial" w:cs="Arial"/>
          <w:b/>
          <w:i/>
          <w:iCs/>
          <w:sz w:val="25"/>
          <w:szCs w:val="25"/>
        </w:rPr>
        <w:t>7</w:t>
      </w:r>
      <w:r w:rsidRPr="00422A6C">
        <w:rPr>
          <w:rFonts w:ascii="Arial" w:hAnsi="Arial" w:cs="Arial"/>
          <w:b/>
          <w:i/>
          <w:iCs/>
          <w:sz w:val="25"/>
          <w:szCs w:val="25"/>
        </w:rPr>
        <w:t>/202</w:t>
      </w:r>
      <w:r>
        <w:rPr>
          <w:rFonts w:ascii="Arial" w:hAnsi="Arial" w:cs="Arial"/>
          <w:b/>
          <w:i/>
          <w:iCs/>
          <w:sz w:val="25"/>
          <w:szCs w:val="25"/>
        </w:rPr>
        <w:t>6</w:t>
      </w:r>
      <w:r w:rsidRPr="00422A6C">
        <w:rPr>
          <w:rFonts w:ascii="Arial" w:hAnsi="Arial" w:cs="Arial"/>
          <w:bCs/>
          <w:sz w:val="25"/>
          <w:szCs w:val="25"/>
        </w:rPr>
        <w:t xml:space="preserve">, este órgano jurisdiccional determinó </w:t>
      </w:r>
      <w:r>
        <w:rPr>
          <w:rFonts w:ascii="Arial" w:hAnsi="Arial" w:cs="Arial"/>
          <w:bCs/>
          <w:sz w:val="25"/>
          <w:szCs w:val="25"/>
        </w:rPr>
        <w:t>e</w:t>
      </w:r>
      <w:r w:rsidRPr="00422A6C">
        <w:rPr>
          <w:rFonts w:ascii="Arial" w:hAnsi="Arial" w:cs="Arial"/>
          <w:bCs/>
          <w:sz w:val="25"/>
          <w:szCs w:val="25"/>
        </w:rPr>
        <w:t>l calendario oficial de labores de la anualidad en curso.</w:t>
      </w:r>
    </w:p>
    <w:p w14:paraId="2E949163" w14:textId="77777777" w:rsidR="003D1941" w:rsidRPr="00422A6C" w:rsidRDefault="003D1941" w:rsidP="003D1941">
      <w:pPr>
        <w:spacing w:after="0" w:line="360" w:lineRule="auto"/>
        <w:ind w:firstLine="709"/>
        <w:jc w:val="both"/>
        <w:rPr>
          <w:rFonts w:ascii="Arial" w:hAnsi="Arial" w:cs="Arial"/>
          <w:bCs/>
          <w:sz w:val="25"/>
          <w:szCs w:val="25"/>
        </w:rPr>
      </w:pPr>
    </w:p>
    <w:p w14:paraId="2D5E013A" w14:textId="77777777" w:rsidR="003D1941" w:rsidRDefault="003D1941" w:rsidP="003D1941">
      <w:pPr>
        <w:spacing w:after="0" w:line="360" w:lineRule="auto"/>
        <w:ind w:firstLine="709"/>
        <w:jc w:val="both"/>
        <w:rPr>
          <w:rFonts w:ascii="Arial" w:hAnsi="Arial" w:cs="Arial"/>
          <w:bCs/>
          <w:sz w:val="25"/>
          <w:szCs w:val="25"/>
        </w:rPr>
      </w:pPr>
      <w:r w:rsidRPr="00422A6C">
        <w:rPr>
          <w:rFonts w:ascii="Arial" w:hAnsi="Arial" w:cs="Arial"/>
          <w:bCs/>
          <w:sz w:val="25"/>
          <w:szCs w:val="25"/>
        </w:rPr>
        <w:t>De una revisión integral a dicho instrumento</w:t>
      </w:r>
      <w:r>
        <w:rPr>
          <w:rFonts w:ascii="Arial" w:hAnsi="Arial" w:cs="Arial"/>
          <w:bCs/>
          <w:sz w:val="25"/>
          <w:szCs w:val="25"/>
        </w:rPr>
        <w:t>,</w:t>
      </w:r>
      <w:r w:rsidRPr="00422A6C">
        <w:rPr>
          <w:rFonts w:ascii="Arial" w:hAnsi="Arial" w:cs="Arial"/>
          <w:bCs/>
          <w:sz w:val="25"/>
          <w:szCs w:val="25"/>
        </w:rPr>
        <w:t xml:space="preserve"> se advierte que s</w:t>
      </w:r>
      <w:r>
        <w:rPr>
          <w:rFonts w:ascii="Arial" w:hAnsi="Arial" w:cs="Arial"/>
          <w:bCs/>
          <w:sz w:val="25"/>
          <w:szCs w:val="25"/>
        </w:rPr>
        <w:t>o</w:t>
      </w:r>
      <w:r w:rsidRPr="00422A6C">
        <w:rPr>
          <w:rFonts w:ascii="Arial" w:hAnsi="Arial" w:cs="Arial"/>
          <w:bCs/>
          <w:sz w:val="25"/>
          <w:szCs w:val="25"/>
        </w:rPr>
        <w:t xml:space="preserve">lo se incorporaron como días inhábiles los contemplados por la normativa de la materia, esto es, por los artículos 74 de la Ley Federal del Trabajo, que regula </w:t>
      </w:r>
      <w:r w:rsidRPr="00422A6C">
        <w:rPr>
          <w:rFonts w:ascii="Arial" w:hAnsi="Arial" w:cs="Arial"/>
          <w:bCs/>
          <w:sz w:val="25"/>
          <w:szCs w:val="25"/>
        </w:rPr>
        <w:lastRenderedPageBreak/>
        <w:t>los días de descanso obligatorios, así como 74 del Código de Procedimientos Civiles del Estado, que establece los días inhábiles para la práctica de actuaciones judiciales.</w:t>
      </w:r>
    </w:p>
    <w:p w14:paraId="5A9C8088" w14:textId="77777777" w:rsidR="003D1941" w:rsidRDefault="003D1941" w:rsidP="003D1941">
      <w:pPr>
        <w:spacing w:after="0" w:line="360" w:lineRule="auto"/>
        <w:ind w:firstLine="709"/>
        <w:jc w:val="both"/>
        <w:rPr>
          <w:rFonts w:ascii="Arial" w:hAnsi="Arial" w:cs="Arial"/>
          <w:bCs/>
          <w:sz w:val="25"/>
          <w:szCs w:val="25"/>
        </w:rPr>
      </w:pPr>
    </w:p>
    <w:p w14:paraId="16AC9625" w14:textId="5758F15B" w:rsidR="003D1941" w:rsidRDefault="003D1941" w:rsidP="003D1941">
      <w:pPr>
        <w:spacing w:after="0" w:line="360" w:lineRule="auto"/>
        <w:ind w:firstLine="709"/>
        <w:jc w:val="both"/>
        <w:rPr>
          <w:rFonts w:ascii="Arial" w:hAnsi="Arial" w:cs="Arial"/>
          <w:bCs/>
          <w:sz w:val="25"/>
          <w:szCs w:val="25"/>
        </w:rPr>
      </w:pPr>
      <w:r>
        <w:rPr>
          <w:rFonts w:ascii="Arial" w:hAnsi="Arial" w:cs="Arial"/>
          <w:bCs/>
          <w:sz w:val="25"/>
          <w:szCs w:val="25"/>
        </w:rPr>
        <w:t>De igual forma, mediante Acuerdos de Pleno 036/2026 y 061/2026, se declararon inhábiles además los días cuatro de mayo y dos de septiembre de dos mil veintiséis.</w:t>
      </w:r>
    </w:p>
    <w:p w14:paraId="64E8D6E8" w14:textId="77777777" w:rsidR="003D1941" w:rsidRDefault="003D1941" w:rsidP="003D1941">
      <w:pPr>
        <w:spacing w:after="0" w:line="360" w:lineRule="auto"/>
        <w:ind w:firstLine="709"/>
        <w:jc w:val="both"/>
        <w:rPr>
          <w:rFonts w:ascii="Arial" w:hAnsi="Arial" w:cs="Arial"/>
          <w:bCs/>
          <w:sz w:val="25"/>
          <w:szCs w:val="25"/>
        </w:rPr>
      </w:pPr>
    </w:p>
    <w:p w14:paraId="189E1EFA" w14:textId="0A61CC57" w:rsidR="003D1941" w:rsidRDefault="003D1941" w:rsidP="003D1941">
      <w:pPr>
        <w:spacing w:after="0" w:line="360" w:lineRule="auto"/>
        <w:ind w:firstLine="709"/>
        <w:jc w:val="both"/>
        <w:rPr>
          <w:rFonts w:ascii="Arial" w:eastAsia="Calibri" w:hAnsi="Arial" w:cs="Arial"/>
          <w:sz w:val="24"/>
          <w:szCs w:val="24"/>
        </w:rPr>
      </w:pPr>
      <w:r w:rsidRPr="008B2E4B">
        <w:rPr>
          <w:rFonts w:ascii="Arial" w:eastAsia="Calibri" w:hAnsi="Arial" w:cs="Arial"/>
          <w:sz w:val="24"/>
          <w:szCs w:val="24"/>
        </w:rPr>
        <w:t xml:space="preserve">Siendo establecidos </w:t>
      </w:r>
      <w:r w:rsidRPr="00F92CFF">
        <w:rPr>
          <w:rFonts w:ascii="Arial" w:eastAsia="Calibri" w:hAnsi="Arial" w:cs="Arial"/>
          <w:sz w:val="24"/>
          <w:szCs w:val="24"/>
        </w:rPr>
        <w:t>como días inhábiles, además de sábados y domingos, los siguientes:</w:t>
      </w:r>
    </w:p>
    <w:tbl>
      <w:tblPr>
        <w:tblStyle w:val="Tablaconcuadrcula"/>
        <w:tblW w:w="0" w:type="auto"/>
        <w:tblInd w:w="3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097"/>
        <w:gridCol w:w="4124"/>
      </w:tblGrid>
      <w:tr w:rsidR="003D1941" w:rsidRPr="00F92CFF" w14:paraId="06CAFAB1" w14:textId="77777777" w:rsidTr="004628F9">
        <w:tc>
          <w:tcPr>
            <w:tcW w:w="4097" w:type="dxa"/>
            <w:shd w:val="pct12" w:color="auto" w:fill="auto"/>
            <w:vAlign w:val="center"/>
          </w:tcPr>
          <w:p w14:paraId="4FD4BEA4" w14:textId="77777777" w:rsidR="003D1941" w:rsidRPr="00F92CFF" w:rsidRDefault="003D1941" w:rsidP="004628F9">
            <w:pPr>
              <w:autoSpaceDE w:val="0"/>
              <w:autoSpaceDN w:val="0"/>
              <w:adjustRightInd w:val="0"/>
              <w:jc w:val="center"/>
              <w:rPr>
                <w:rFonts w:ascii="Arial" w:hAnsi="Arial" w:cs="Arial"/>
                <w:b/>
                <w:sz w:val="24"/>
                <w:szCs w:val="24"/>
              </w:rPr>
            </w:pPr>
            <w:r w:rsidRPr="00F92CFF">
              <w:rPr>
                <w:rFonts w:ascii="Arial" w:hAnsi="Arial" w:cs="Arial"/>
                <w:b/>
                <w:sz w:val="24"/>
                <w:szCs w:val="24"/>
              </w:rPr>
              <w:t>Mes</w:t>
            </w:r>
          </w:p>
        </w:tc>
        <w:tc>
          <w:tcPr>
            <w:tcW w:w="4124" w:type="dxa"/>
            <w:shd w:val="pct12" w:color="auto" w:fill="auto"/>
            <w:vAlign w:val="center"/>
          </w:tcPr>
          <w:p w14:paraId="2FA27764" w14:textId="77777777" w:rsidR="003D1941" w:rsidRPr="00F92CFF" w:rsidRDefault="003D1941" w:rsidP="004628F9">
            <w:pPr>
              <w:autoSpaceDE w:val="0"/>
              <w:autoSpaceDN w:val="0"/>
              <w:adjustRightInd w:val="0"/>
              <w:jc w:val="center"/>
              <w:rPr>
                <w:rFonts w:ascii="Arial" w:hAnsi="Arial" w:cs="Arial"/>
                <w:b/>
                <w:sz w:val="24"/>
                <w:szCs w:val="24"/>
              </w:rPr>
            </w:pPr>
            <w:r w:rsidRPr="00F92CFF">
              <w:rPr>
                <w:rFonts w:ascii="Arial" w:hAnsi="Arial" w:cs="Arial"/>
                <w:b/>
                <w:sz w:val="24"/>
                <w:szCs w:val="24"/>
              </w:rPr>
              <w:t>Día</w:t>
            </w:r>
          </w:p>
        </w:tc>
      </w:tr>
      <w:tr w:rsidR="003D1941" w:rsidRPr="00F92CFF" w14:paraId="6A912C9C" w14:textId="77777777" w:rsidTr="004628F9">
        <w:tc>
          <w:tcPr>
            <w:tcW w:w="4097" w:type="dxa"/>
            <w:vAlign w:val="center"/>
          </w:tcPr>
          <w:p w14:paraId="34001717"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Febrero</w:t>
            </w:r>
          </w:p>
        </w:tc>
        <w:tc>
          <w:tcPr>
            <w:tcW w:w="4124" w:type="dxa"/>
            <w:vAlign w:val="center"/>
          </w:tcPr>
          <w:p w14:paraId="0282AF71"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Lunes 2, en conmemoración del 5 de febrero.</w:t>
            </w:r>
          </w:p>
        </w:tc>
      </w:tr>
      <w:tr w:rsidR="003D1941" w:rsidRPr="00F92CFF" w14:paraId="4A12EF68" w14:textId="77777777" w:rsidTr="004628F9">
        <w:trPr>
          <w:trHeight w:val="51"/>
        </w:trPr>
        <w:tc>
          <w:tcPr>
            <w:tcW w:w="4097" w:type="dxa"/>
            <w:vAlign w:val="center"/>
          </w:tcPr>
          <w:p w14:paraId="5E693D1B"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Marzo</w:t>
            </w:r>
          </w:p>
        </w:tc>
        <w:tc>
          <w:tcPr>
            <w:tcW w:w="4124" w:type="dxa"/>
            <w:vAlign w:val="center"/>
          </w:tcPr>
          <w:p w14:paraId="065A1CE3"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Lunes 16, en conmemoración del 21 de marzo.</w:t>
            </w:r>
          </w:p>
        </w:tc>
      </w:tr>
      <w:tr w:rsidR="003D1941" w:rsidRPr="00F92CFF" w14:paraId="2EDEE655" w14:textId="77777777" w:rsidTr="004628F9">
        <w:trPr>
          <w:trHeight w:val="154"/>
        </w:trPr>
        <w:tc>
          <w:tcPr>
            <w:tcW w:w="4097" w:type="dxa"/>
            <w:vAlign w:val="center"/>
          </w:tcPr>
          <w:p w14:paraId="5377326F"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Abril</w:t>
            </w:r>
          </w:p>
        </w:tc>
        <w:tc>
          <w:tcPr>
            <w:tcW w:w="4124" w:type="dxa"/>
            <w:vAlign w:val="center"/>
          </w:tcPr>
          <w:p w14:paraId="1ED6BB5F"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 xml:space="preserve">Miércoles 1, jueves 2 y viernes 3, por corresponder a los principales días de la Semana Santa.                                                                                                                                                                                                                                                                                                                                                                                                                                                                                                                                                                                                                                                                                                                                                                                                                                                                                                                                                                                                                                                                                                                                                                                                                                      </w:t>
            </w:r>
          </w:p>
        </w:tc>
      </w:tr>
      <w:tr w:rsidR="003D1941" w:rsidRPr="00F92CFF" w14:paraId="487AF26A" w14:textId="77777777" w:rsidTr="004628F9">
        <w:tc>
          <w:tcPr>
            <w:tcW w:w="4097" w:type="dxa"/>
            <w:vAlign w:val="center"/>
          </w:tcPr>
          <w:p w14:paraId="383714E9" w14:textId="77777777" w:rsidR="003D1941" w:rsidRPr="00F92CFF" w:rsidRDefault="003D1941" w:rsidP="004628F9">
            <w:pPr>
              <w:autoSpaceDE w:val="0"/>
              <w:autoSpaceDN w:val="0"/>
              <w:adjustRightInd w:val="0"/>
              <w:jc w:val="center"/>
              <w:rPr>
                <w:rFonts w:ascii="Arial" w:hAnsi="Arial" w:cs="Arial"/>
                <w:sz w:val="24"/>
                <w:szCs w:val="24"/>
              </w:rPr>
            </w:pPr>
            <w:bookmarkStart w:id="1" w:name="_Hlk29285228"/>
            <w:r w:rsidRPr="00F92CFF">
              <w:rPr>
                <w:rFonts w:ascii="Arial" w:hAnsi="Arial" w:cs="Arial"/>
                <w:sz w:val="24"/>
                <w:szCs w:val="24"/>
              </w:rPr>
              <w:t>Mayo</w:t>
            </w:r>
          </w:p>
        </w:tc>
        <w:tc>
          <w:tcPr>
            <w:tcW w:w="4124" w:type="dxa"/>
            <w:vAlign w:val="center"/>
          </w:tcPr>
          <w:p w14:paraId="3429F3CE" w14:textId="738C6D8D"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Viernes 1</w:t>
            </w:r>
            <w:r>
              <w:rPr>
                <w:rFonts w:ascii="Arial" w:hAnsi="Arial" w:cs="Arial"/>
                <w:sz w:val="24"/>
                <w:szCs w:val="24"/>
              </w:rPr>
              <w:t>, lunes 4</w:t>
            </w:r>
            <w:r w:rsidRPr="00F92CFF">
              <w:rPr>
                <w:rFonts w:ascii="Arial" w:hAnsi="Arial" w:cs="Arial"/>
                <w:sz w:val="24"/>
                <w:szCs w:val="24"/>
              </w:rPr>
              <w:t xml:space="preserve"> y martes 5</w:t>
            </w:r>
          </w:p>
        </w:tc>
      </w:tr>
      <w:bookmarkEnd w:id="1"/>
      <w:tr w:rsidR="003D1941" w:rsidRPr="00F92CFF" w14:paraId="6826EE16" w14:textId="77777777" w:rsidTr="004628F9">
        <w:tc>
          <w:tcPr>
            <w:tcW w:w="4097" w:type="dxa"/>
            <w:vAlign w:val="center"/>
          </w:tcPr>
          <w:p w14:paraId="2FB29869"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Septiembre</w:t>
            </w:r>
          </w:p>
        </w:tc>
        <w:tc>
          <w:tcPr>
            <w:tcW w:w="4124" w:type="dxa"/>
            <w:vAlign w:val="center"/>
          </w:tcPr>
          <w:p w14:paraId="718DCE0E" w14:textId="5B32315B" w:rsidR="003D1941" w:rsidRPr="00F92CFF" w:rsidRDefault="003160AB" w:rsidP="004628F9">
            <w:pPr>
              <w:autoSpaceDE w:val="0"/>
              <w:autoSpaceDN w:val="0"/>
              <w:adjustRightInd w:val="0"/>
              <w:jc w:val="both"/>
              <w:rPr>
                <w:rFonts w:ascii="Arial" w:hAnsi="Arial" w:cs="Arial"/>
                <w:sz w:val="24"/>
                <w:szCs w:val="24"/>
              </w:rPr>
            </w:pPr>
            <w:r>
              <w:rPr>
                <w:rFonts w:ascii="Arial" w:hAnsi="Arial" w:cs="Arial"/>
                <w:sz w:val="24"/>
                <w:szCs w:val="24"/>
              </w:rPr>
              <w:t xml:space="preserve">Miércoles 2, </w:t>
            </w:r>
            <w:r w:rsidR="003D1941" w:rsidRPr="00F92CFF">
              <w:rPr>
                <w:rFonts w:ascii="Arial" w:hAnsi="Arial" w:cs="Arial"/>
                <w:sz w:val="24"/>
                <w:szCs w:val="24"/>
              </w:rPr>
              <w:t>martes 15 y miércoles 16.</w:t>
            </w:r>
          </w:p>
        </w:tc>
      </w:tr>
      <w:tr w:rsidR="003D1941" w:rsidRPr="00F92CFF" w14:paraId="35611EB1" w14:textId="77777777" w:rsidTr="004628F9">
        <w:tc>
          <w:tcPr>
            <w:tcW w:w="4097" w:type="dxa"/>
            <w:vAlign w:val="center"/>
          </w:tcPr>
          <w:p w14:paraId="3888BDB3"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Octubre</w:t>
            </w:r>
          </w:p>
        </w:tc>
        <w:tc>
          <w:tcPr>
            <w:tcW w:w="4124" w:type="dxa"/>
            <w:vAlign w:val="center"/>
          </w:tcPr>
          <w:p w14:paraId="70E25198"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 xml:space="preserve">Lunes 12 </w:t>
            </w:r>
          </w:p>
        </w:tc>
      </w:tr>
      <w:tr w:rsidR="003D1941" w:rsidRPr="00F92CFF" w14:paraId="48DF30CC" w14:textId="77777777" w:rsidTr="004628F9">
        <w:tc>
          <w:tcPr>
            <w:tcW w:w="4097" w:type="dxa"/>
            <w:vAlign w:val="center"/>
          </w:tcPr>
          <w:p w14:paraId="69E34A7C"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Noviembre</w:t>
            </w:r>
          </w:p>
        </w:tc>
        <w:tc>
          <w:tcPr>
            <w:tcW w:w="4124" w:type="dxa"/>
            <w:vAlign w:val="center"/>
          </w:tcPr>
          <w:p w14:paraId="4FAD5D40"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Lunes 2, y lunes 16 en conmemoración del 20 de noviembre.</w:t>
            </w:r>
          </w:p>
        </w:tc>
      </w:tr>
      <w:tr w:rsidR="003D1941" w:rsidRPr="00F92CFF" w14:paraId="03E97CE9" w14:textId="77777777" w:rsidTr="004628F9">
        <w:tc>
          <w:tcPr>
            <w:tcW w:w="4097" w:type="dxa"/>
            <w:vAlign w:val="center"/>
          </w:tcPr>
          <w:p w14:paraId="355FE611"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Diciembre</w:t>
            </w:r>
          </w:p>
        </w:tc>
        <w:tc>
          <w:tcPr>
            <w:tcW w:w="4124" w:type="dxa"/>
            <w:vAlign w:val="center"/>
          </w:tcPr>
          <w:p w14:paraId="3B09D97E"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Viernes 25 de diciembre.</w:t>
            </w:r>
          </w:p>
        </w:tc>
      </w:tr>
      <w:tr w:rsidR="003D1941" w:rsidRPr="00F92CFF" w14:paraId="0CB85158" w14:textId="77777777" w:rsidTr="004628F9">
        <w:tc>
          <w:tcPr>
            <w:tcW w:w="4097" w:type="dxa"/>
            <w:vAlign w:val="center"/>
          </w:tcPr>
          <w:p w14:paraId="2F69AAB9" w14:textId="77777777" w:rsidR="003D1941" w:rsidRPr="00F92CFF" w:rsidRDefault="003D1941" w:rsidP="004628F9">
            <w:pPr>
              <w:autoSpaceDE w:val="0"/>
              <w:autoSpaceDN w:val="0"/>
              <w:adjustRightInd w:val="0"/>
              <w:jc w:val="center"/>
              <w:rPr>
                <w:rFonts w:ascii="Arial" w:hAnsi="Arial" w:cs="Arial"/>
                <w:sz w:val="24"/>
                <w:szCs w:val="24"/>
              </w:rPr>
            </w:pPr>
            <w:r w:rsidRPr="00F92CFF">
              <w:rPr>
                <w:rFonts w:ascii="Arial" w:hAnsi="Arial" w:cs="Arial"/>
                <w:sz w:val="24"/>
                <w:szCs w:val="24"/>
              </w:rPr>
              <w:t>Enero (2027)</w:t>
            </w:r>
          </w:p>
        </w:tc>
        <w:tc>
          <w:tcPr>
            <w:tcW w:w="4124" w:type="dxa"/>
            <w:vAlign w:val="center"/>
          </w:tcPr>
          <w:p w14:paraId="03C737E7" w14:textId="77777777" w:rsidR="003D1941" w:rsidRPr="00F92CFF" w:rsidRDefault="003D1941" w:rsidP="004628F9">
            <w:pPr>
              <w:autoSpaceDE w:val="0"/>
              <w:autoSpaceDN w:val="0"/>
              <w:adjustRightInd w:val="0"/>
              <w:jc w:val="both"/>
              <w:rPr>
                <w:rFonts w:ascii="Arial" w:hAnsi="Arial" w:cs="Arial"/>
                <w:sz w:val="24"/>
                <w:szCs w:val="24"/>
              </w:rPr>
            </w:pPr>
            <w:r w:rsidRPr="00F92CFF">
              <w:rPr>
                <w:rFonts w:ascii="Arial" w:hAnsi="Arial" w:cs="Arial"/>
                <w:sz w:val="24"/>
                <w:szCs w:val="24"/>
              </w:rPr>
              <w:t xml:space="preserve">Viernes 1 de enero. </w:t>
            </w:r>
          </w:p>
        </w:tc>
      </w:tr>
    </w:tbl>
    <w:p w14:paraId="638A686B" w14:textId="77777777" w:rsidR="003D1941" w:rsidRPr="003D1941" w:rsidRDefault="003D1941" w:rsidP="003D1941">
      <w:pPr>
        <w:spacing w:after="0" w:line="360" w:lineRule="auto"/>
        <w:ind w:firstLine="709"/>
        <w:jc w:val="both"/>
        <w:rPr>
          <w:rFonts w:ascii="Arial" w:hAnsi="Arial" w:cs="Arial"/>
          <w:bCs/>
          <w:sz w:val="25"/>
          <w:szCs w:val="25"/>
        </w:rPr>
      </w:pPr>
    </w:p>
    <w:p w14:paraId="3B52E8E9" w14:textId="6C4D0AC5" w:rsidR="00FD1581" w:rsidRPr="00FD1581" w:rsidRDefault="003160AB" w:rsidP="00FD1581">
      <w:pPr>
        <w:spacing w:after="0" w:line="360" w:lineRule="auto"/>
        <w:ind w:firstLine="709"/>
        <w:jc w:val="both"/>
        <w:rPr>
          <w:rFonts w:ascii="Arial" w:hAnsi="Arial" w:cs="Arial"/>
          <w:bCs/>
          <w:sz w:val="25"/>
          <w:szCs w:val="25"/>
        </w:rPr>
      </w:pPr>
      <w:r w:rsidRPr="00422A6C">
        <w:rPr>
          <w:rFonts w:ascii="Arial" w:hAnsi="Arial" w:cs="Arial"/>
          <w:b/>
          <w:sz w:val="25"/>
          <w:szCs w:val="25"/>
        </w:rPr>
        <w:lastRenderedPageBreak/>
        <w:t>V</w:t>
      </w:r>
      <w:r>
        <w:rPr>
          <w:rFonts w:ascii="Arial" w:hAnsi="Arial" w:cs="Arial"/>
          <w:b/>
          <w:sz w:val="25"/>
          <w:szCs w:val="25"/>
        </w:rPr>
        <w:t>I</w:t>
      </w:r>
      <w:r w:rsidRPr="00422A6C">
        <w:rPr>
          <w:rFonts w:ascii="Arial" w:hAnsi="Arial" w:cs="Arial"/>
          <w:b/>
          <w:sz w:val="25"/>
          <w:szCs w:val="25"/>
        </w:rPr>
        <w:t xml:space="preserve">. </w:t>
      </w:r>
      <w:r>
        <w:rPr>
          <w:rFonts w:ascii="Arial" w:hAnsi="Arial" w:cs="Arial"/>
          <w:b/>
          <w:sz w:val="25"/>
          <w:szCs w:val="25"/>
        </w:rPr>
        <w:t xml:space="preserve">Caso concreto. </w:t>
      </w:r>
      <w:r w:rsidR="00FD1581" w:rsidRPr="00FD1581">
        <w:rPr>
          <w:rFonts w:ascii="Arial" w:hAnsi="Arial" w:cs="Arial"/>
          <w:bCs/>
          <w:sz w:val="25"/>
          <w:szCs w:val="25"/>
        </w:rPr>
        <w:t>Este Pleno estima conveniente modificar el calendario oficial de labores del Tribunal, a efecto de declarar inhábil el lunes catorce de septiembre de dos mil veintiséis, con la finalidad de armonizarlo con los calendarios de los órganos jurisdiccionales con los que este Tribunal mantiene una relación funcional en el trámite y resolución de los asuntos de su competencia.</w:t>
      </w:r>
    </w:p>
    <w:p w14:paraId="31E2C507" w14:textId="6CF93B38" w:rsidR="00710041" w:rsidRDefault="00710041" w:rsidP="00FD1581">
      <w:pPr>
        <w:spacing w:after="0" w:line="360" w:lineRule="auto"/>
        <w:ind w:firstLine="709"/>
        <w:jc w:val="both"/>
        <w:rPr>
          <w:rFonts w:ascii="Arial" w:hAnsi="Arial" w:cs="Arial"/>
          <w:bCs/>
          <w:sz w:val="25"/>
          <w:szCs w:val="25"/>
          <w:lang w:val="es-MX"/>
        </w:rPr>
      </w:pPr>
      <w:r w:rsidRPr="00710041">
        <w:rPr>
          <w:rFonts w:ascii="Arial" w:hAnsi="Arial" w:cs="Arial"/>
          <w:bCs/>
          <w:sz w:val="25"/>
          <w:szCs w:val="25"/>
        </w:rPr>
        <w:t>Al respecto, el artículo 24 de la Ley Orgánica del Tribunal Estatal de Justicia Administrativa establece que los periodos de vacaciones del personal coincidirán con los del Poder Judicial del Estado y que se suspenderán las labores generales del Tribunal, sin que corran los plazos, los días que acuerde el Pleno. De esta manera, el propio ordenamiento reconoce la conveniencia de coordinar determinados periodos de suspensión de labores con los de otros órganos jurisdiccionales y confiere al Pleno la facultad de determinar los días en que habrán de suspenderse las labores generales del Tribunal</w:t>
      </w:r>
    </w:p>
    <w:p w14:paraId="76BE013E" w14:textId="2031CF19" w:rsidR="00FD1581" w:rsidRPr="00FD1581" w:rsidRDefault="00FD1581" w:rsidP="00FD1581">
      <w:pPr>
        <w:spacing w:after="0" w:line="360" w:lineRule="auto"/>
        <w:ind w:firstLine="709"/>
        <w:jc w:val="both"/>
        <w:rPr>
          <w:rFonts w:ascii="Arial" w:hAnsi="Arial" w:cs="Arial"/>
          <w:bCs/>
          <w:sz w:val="25"/>
          <w:szCs w:val="25"/>
          <w:lang w:val="es-MX"/>
        </w:rPr>
      </w:pPr>
      <w:r w:rsidRPr="00FD1581">
        <w:rPr>
          <w:rFonts w:ascii="Arial" w:hAnsi="Arial" w:cs="Arial"/>
          <w:bCs/>
          <w:sz w:val="25"/>
          <w:szCs w:val="25"/>
          <w:lang w:val="es-MX"/>
        </w:rPr>
        <w:t>Lo anterior, tomando en consideración que el artículo 19 de la Ley de Amparo contempla el catorce de septiembre como día inhábil para la promoción, substanciación y resolución de los juicios de amparo, y que los calendarios oficiales del Poder Judicial de la Federación y del Tribunal Federal de Justicia Administrativa</w:t>
      </w:r>
      <w:r>
        <w:rPr>
          <w:rFonts w:ascii="Arial" w:hAnsi="Arial" w:cs="Arial"/>
          <w:bCs/>
          <w:sz w:val="25"/>
          <w:szCs w:val="25"/>
          <w:lang w:val="es-MX"/>
        </w:rPr>
        <w:t xml:space="preserve">, este último aprobado mediante </w:t>
      </w:r>
      <w:r w:rsidRPr="00EF34AA">
        <w:rPr>
          <w:rFonts w:ascii="Arial" w:hAnsi="Arial" w:cs="Arial"/>
          <w:bCs/>
          <w:sz w:val="24"/>
          <w:szCs w:val="24"/>
        </w:rPr>
        <w:t>ACUERDO SS/2/2026</w:t>
      </w:r>
      <w:r>
        <w:rPr>
          <w:rFonts w:ascii="Arial" w:hAnsi="Arial" w:cs="Arial"/>
          <w:bCs/>
          <w:sz w:val="24"/>
          <w:szCs w:val="24"/>
        </w:rPr>
        <w:t>,</w:t>
      </w:r>
      <w:r w:rsidRPr="00FD1581">
        <w:rPr>
          <w:rFonts w:ascii="Arial" w:hAnsi="Arial" w:cs="Arial"/>
          <w:bCs/>
          <w:sz w:val="25"/>
          <w:szCs w:val="25"/>
          <w:lang w:val="es-MX"/>
        </w:rPr>
        <w:t xml:space="preserve"> también prevén dicha fecha como inhábil.</w:t>
      </w:r>
    </w:p>
    <w:p w14:paraId="7242961D" w14:textId="1C2B82B8" w:rsidR="00FD1581" w:rsidRPr="00FD1581" w:rsidRDefault="00FD1581" w:rsidP="00FD1581">
      <w:pPr>
        <w:spacing w:after="0" w:line="360" w:lineRule="auto"/>
        <w:ind w:firstLine="709"/>
        <w:jc w:val="both"/>
        <w:rPr>
          <w:rFonts w:ascii="Arial" w:hAnsi="Arial" w:cs="Arial"/>
          <w:bCs/>
          <w:sz w:val="25"/>
          <w:szCs w:val="25"/>
          <w:lang w:val="es-MX"/>
        </w:rPr>
      </w:pPr>
      <w:r w:rsidRPr="00FD1581">
        <w:rPr>
          <w:rFonts w:ascii="Arial" w:hAnsi="Arial" w:cs="Arial"/>
          <w:bCs/>
          <w:sz w:val="25"/>
          <w:szCs w:val="25"/>
          <w:lang w:val="es-MX"/>
        </w:rPr>
        <w:t>En ese contexto, la homologación propuesta constituye una medida de organización que permite conciliar el desarrollo de las labores jurisdiccionales de este Tribunal con los calendarios de los órganos federales, particularmente respecto de las actuaciones</w:t>
      </w:r>
      <w:r>
        <w:rPr>
          <w:rFonts w:ascii="Arial" w:hAnsi="Arial" w:cs="Arial"/>
          <w:bCs/>
          <w:sz w:val="25"/>
          <w:szCs w:val="25"/>
          <w:lang w:val="es-MX"/>
        </w:rPr>
        <w:t xml:space="preserve"> y</w:t>
      </w:r>
      <w:r w:rsidRPr="00FD1581">
        <w:rPr>
          <w:rFonts w:ascii="Arial" w:hAnsi="Arial" w:cs="Arial"/>
          <w:bCs/>
          <w:sz w:val="25"/>
          <w:szCs w:val="25"/>
          <w:lang w:val="es-MX"/>
        </w:rPr>
        <w:t xml:space="preserve"> requerimientos relacionados con los juicios de amparo, así como evitar diferencias innecesarias para el cómputo de los plazos que correspondan conforme a cada ordenamiento.</w:t>
      </w:r>
    </w:p>
    <w:p w14:paraId="7F85DAA1" w14:textId="5E71D0CE" w:rsidR="00FD1581" w:rsidRPr="00FD1581" w:rsidRDefault="00FD1581" w:rsidP="00FD1581">
      <w:pPr>
        <w:spacing w:after="0" w:line="360" w:lineRule="auto"/>
        <w:ind w:firstLine="709"/>
        <w:jc w:val="both"/>
        <w:rPr>
          <w:rFonts w:ascii="Arial" w:hAnsi="Arial" w:cs="Arial"/>
          <w:bCs/>
          <w:sz w:val="25"/>
          <w:szCs w:val="25"/>
          <w:lang w:val="es-MX"/>
        </w:rPr>
      </w:pPr>
      <w:r w:rsidRPr="00FD1581">
        <w:rPr>
          <w:rFonts w:ascii="Arial" w:hAnsi="Arial" w:cs="Arial"/>
          <w:bCs/>
          <w:sz w:val="25"/>
          <w:szCs w:val="25"/>
          <w:lang w:val="es-MX"/>
        </w:rPr>
        <w:t xml:space="preserve">Asimismo, la medida favorece la certeza jurídica de las partes y de las personas usuarias del servicio de justicia, al establecer de manera clara los días </w:t>
      </w:r>
      <w:r w:rsidRPr="00FD1581">
        <w:rPr>
          <w:rFonts w:ascii="Arial" w:hAnsi="Arial" w:cs="Arial"/>
          <w:bCs/>
          <w:sz w:val="25"/>
          <w:szCs w:val="25"/>
          <w:lang w:val="es-MX"/>
        </w:rPr>
        <w:lastRenderedPageBreak/>
        <w:t>en que este Tribunal suspenderá sus labores</w:t>
      </w:r>
      <w:r>
        <w:rPr>
          <w:rFonts w:ascii="Arial" w:hAnsi="Arial" w:cs="Arial"/>
          <w:bCs/>
          <w:sz w:val="25"/>
          <w:szCs w:val="25"/>
          <w:lang w:val="es-MX"/>
        </w:rPr>
        <w:t>,</w:t>
      </w:r>
      <w:r w:rsidRPr="00FD1581">
        <w:rPr>
          <w:rFonts w:ascii="Arial" w:hAnsi="Arial" w:cs="Arial"/>
          <w:bCs/>
          <w:sz w:val="25"/>
          <w:szCs w:val="25"/>
          <w:lang w:val="es-MX"/>
        </w:rPr>
        <w:t xml:space="preserve"> </w:t>
      </w:r>
      <w:r w:rsidR="0091782D">
        <w:rPr>
          <w:rFonts w:ascii="Arial" w:hAnsi="Arial" w:cs="Arial"/>
          <w:bCs/>
          <w:sz w:val="25"/>
          <w:szCs w:val="25"/>
          <w:lang w:val="es-MX"/>
        </w:rPr>
        <w:t xml:space="preserve">en armonía con </w:t>
      </w:r>
      <w:r w:rsidRPr="00FD1581">
        <w:rPr>
          <w:rFonts w:ascii="Arial" w:hAnsi="Arial" w:cs="Arial"/>
          <w:bCs/>
          <w:sz w:val="25"/>
          <w:szCs w:val="25"/>
          <w:lang w:val="es-MX"/>
        </w:rPr>
        <w:t>los calendarios de otros órganos jurisdiccionales.</w:t>
      </w:r>
    </w:p>
    <w:p w14:paraId="4D215BAE" w14:textId="77777777" w:rsidR="00FD1581" w:rsidRPr="00FD1581" w:rsidRDefault="00FD1581" w:rsidP="00FD1581">
      <w:pPr>
        <w:spacing w:after="0" w:line="360" w:lineRule="auto"/>
        <w:ind w:firstLine="709"/>
        <w:jc w:val="both"/>
        <w:rPr>
          <w:rFonts w:ascii="Arial" w:hAnsi="Arial" w:cs="Arial"/>
          <w:bCs/>
          <w:sz w:val="25"/>
          <w:szCs w:val="25"/>
          <w:lang w:val="es-MX"/>
        </w:rPr>
      </w:pPr>
      <w:r w:rsidRPr="00FD1581">
        <w:rPr>
          <w:rFonts w:ascii="Arial" w:hAnsi="Arial" w:cs="Arial"/>
          <w:bCs/>
          <w:sz w:val="25"/>
          <w:szCs w:val="25"/>
          <w:lang w:val="es-MX"/>
        </w:rPr>
        <w:t>Por tanto, en ejercicio de las facultades de dirección y organización conferidas al Pleno por el artículo 9, fracciones XVII y XXV, de la Ley Orgánica del Tribunal Estatal de Justicia Administrativa, se estima justificado declarar inhábil el lunes catorce de septiembre de dos mil veintiséis, para los efectos que correspondan conforme a la normativa aplicable.</w:t>
      </w:r>
    </w:p>
    <w:p w14:paraId="64616A82" w14:textId="66ED75F1" w:rsidR="00FD1581" w:rsidRPr="00FD1581" w:rsidRDefault="00FD1581" w:rsidP="00FD1581">
      <w:pPr>
        <w:spacing w:after="0" w:line="360" w:lineRule="auto"/>
        <w:ind w:firstLine="709"/>
        <w:jc w:val="both"/>
        <w:rPr>
          <w:rFonts w:ascii="Arial" w:hAnsi="Arial" w:cs="Arial"/>
          <w:bCs/>
          <w:sz w:val="25"/>
          <w:szCs w:val="25"/>
          <w:lang w:val="es-MX"/>
        </w:rPr>
      </w:pPr>
      <w:r w:rsidRPr="00FD1581">
        <w:rPr>
          <w:rFonts w:ascii="Arial" w:hAnsi="Arial" w:cs="Arial"/>
          <w:bCs/>
          <w:sz w:val="25"/>
          <w:szCs w:val="25"/>
          <w:lang w:val="es-MX"/>
        </w:rPr>
        <w:t>Bajo ese contexto, en ejercicio de su autonomía y autogobierno, el Pleno del Tribunal Estatal de Justicia Administrativa, adopt</w:t>
      </w:r>
      <w:r w:rsidR="00D730C8">
        <w:rPr>
          <w:rFonts w:ascii="Arial" w:hAnsi="Arial" w:cs="Arial"/>
          <w:bCs/>
          <w:sz w:val="25"/>
          <w:szCs w:val="25"/>
          <w:lang w:val="es-MX"/>
        </w:rPr>
        <w:t>a</w:t>
      </w:r>
      <w:r w:rsidRPr="00FD1581">
        <w:rPr>
          <w:rFonts w:ascii="Arial" w:hAnsi="Arial" w:cs="Arial"/>
          <w:bCs/>
          <w:sz w:val="25"/>
          <w:szCs w:val="25"/>
          <w:lang w:val="es-MX"/>
        </w:rPr>
        <w:t xml:space="preserve"> el siguiente:</w:t>
      </w:r>
    </w:p>
    <w:p w14:paraId="5A3A56F1" w14:textId="77777777" w:rsidR="00FD1581" w:rsidRDefault="00FD1581" w:rsidP="00FD1581">
      <w:pPr>
        <w:tabs>
          <w:tab w:val="left" w:pos="6480"/>
        </w:tabs>
        <w:spacing w:after="0" w:line="360" w:lineRule="auto"/>
        <w:jc w:val="both"/>
        <w:rPr>
          <w:rFonts w:ascii="Arial" w:eastAsia="Tahoma" w:hAnsi="Arial" w:cs="Arial"/>
          <w:b/>
          <w:bCs/>
          <w:sz w:val="24"/>
          <w:szCs w:val="24"/>
          <w:lang w:val="es-MX"/>
        </w:rPr>
      </w:pPr>
    </w:p>
    <w:p w14:paraId="3CB2E80F" w14:textId="5B36A3E4" w:rsidR="00FD1581" w:rsidRDefault="00FD1581" w:rsidP="00FD1581">
      <w:pPr>
        <w:tabs>
          <w:tab w:val="left" w:pos="6480"/>
        </w:tabs>
        <w:spacing w:after="0" w:line="360" w:lineRule="auto"/>
        <w:jc w:val="center"/>
        <w:rPr>
          <w:rFonts w:ascii="Arial" w:eastAsia="Tahoma" w:hAnsi="Arial" w:cs="Arial"/>
          <w:b/>
          <w:bCs/>
          <w:sz w:val="24"/>
          <w:szCs w:val="24"/>
          <w:lang w:val="es-MX"/>
        </w:rPr>
      </w:pPr>
      <w:r w:rsidRPr="00FD1581">
        <w:rPr>
          <w:rFonts w:ascii="Arial" w:eastAsia="Tahoma" w:hAnsi="Arial" w:cs="Arial"/>
          <w:b/>
          <w:bCs/>
          <w:sz w:val="24"/>
          <w:szCs w:val="24"/>
          <w:lang w:val="es-MX"/>
        </w:rPr>
        <w:t>ACUERDO</w:t>
      </w:r>
    </w:p>
    <w:p w14:paraId="534E3556" w14:textId="77777777" w:rsidR="00FD1581" w:rsidRPr="00FD1581" w:rsidRDefault="00FD1581" w:rsidP="00FD1581">
      <w:pPr>
        <w:tabs>
          <w:tab w:val="left" w:pos="6480"/>
        </w:tabs>
        <w:spacing w:after="0" w:line="360" w:lineRule="auto"/>
        <w:jc w:val="center"/>
        <w:rPr>
          <w:rFonts w:ascii="Arial" w:eastAsia="Tahoma" w:hAnsi="Arial" w:cs="Arial"/>
          <w:b/>
          <w:bCs/>
          <w:sz w:val="24"/>
          <w:szCs w:val="24"/>
          <w:lang w:val="es-MX"/>
        </w:rPr>
      </w:pPr>
    </w:p>
    <w:p w14:paraId="367D590C" w14:textId="77777777" w:rsidR="00FD1581" w:rsidRDefault="00FD1581" w:rsidP="00FD1581">
      <w:pPr>
        <w:spacing w:after="0" w:line="360" w:lineRule="auto"/>
        <w:ind w:firstLine="709"/>
        <w:jc w:val="both"/>
        <w:rPr>
          <w:rFonts w:ascii="Arial" w:eastAsia="Tahoma" w:hAnsi="Arial" w:cs="Arial"/>
          <w:bCs/>
          <w:sz w:val="24"/>
          <w:szCs w:val="24"/>
          <w:lang w:val="es-MX"/>
        </w:rPr>
      </w:pPr>
      <w:r w:rsidRPr="00FD1581">
        <w:rPr>
          <w:rFonts w:ascii="Arial" w:eastAsia="Tahoma" w:hAnsi="Arial" w:cs="Arial"/>
          <w:b/>
          <w:bCs/>
          <w:sz w:val="24"/>
          <w:szCs w:val="24"/>
          <w:lang w:val="es-MX"/>
        </w:rPr>
        <w:t>PRIMERO.</w:t>
      </w:r>
      <w:r w:rsidRPr="00FD1581">
        <w:rPr>
          <w:rFonts w:ascii="Arial" w:eastAsia="Tahoma" w:hAnsi="Arial" w:cs="Arial"/>
          <w:b/>
          <w:sz w:val="24"/>
          <w:szCs w:val="24"/>
          <w:lang w:val="es-MX"/>
        </w:rPr>
        <w:t xml:space="preserve"> </w:t>
      </w:r>
      <w:r w:rsidRPr="00FD1581">
        <w:rPr>
          <w:rFonts w:ascii="Arial" w:eastAsia="Tahoma" w:hAnsi="Arial" w:cs="Arial"/>
          <w:bCs/>
          <w:sz w:val="24"/>
          <w:szCs w:val="24"/>
          <w:lang w:val="es-MX"/>
        </w:rPr>
        <w:t xml:space="preserve">Se aprueba la modificación al calendario oficial de labores del Tribunal Estatal de Justicia Administrativa, correspondiente al año dos mil veintiséis y enero de dos mil veintisiete, aprobado mediante ACUERDO PLENO 007/2026, </w:t>
      </w:r>
      <w:r w:rsidRPr="0028598F">
        <w:rPr>
          <w:rFonts w:ascii="Arial" w:eastAsia="Tahoma" w:hAnsi="Arial" w:cs="Arial"/>
          <w:bCs/>
          <w:sz w:val="24"/>
          <w:szCs w:val="24"/>
          <w:lang w:val="es-MX"/>
        </w:rPr>
        <w:t>a efecto de adicionar como día inhábil el lunes catorce de septiembre de dos mil veintiséis.</w:t>
      </w:r>
    </w:p>
    <w:p w14:paraId="77730C9D" w14:textId="77777777" w:rsidR="00FD1581" w:rsidRPr="00FD1581" w:rsidRDefault="00FD1581" w:rsidP="00FD1581">
      <w:pPr>
        <w:tabs>
          <w:tab w:val="left" w:pos="6480"/>
        </w:tabs>
        <w:spacing w:after="0" w:line="360" w:lineRule="auto"/>
        <w:jc w:val="both"/>
        <w:rPr>
          <w:rFonts w:ascii="Arial" w:eastAsia="Tahoma" w:hAnsi="Arial" w:cs="Arial"/>
          <w:b/>
          <w:sz w:val="24"/>
          <w:szCs w:val="24"/>
          <w:lang w:val="es-MX"/>
        </w:rPr>
      </w:pPr>
    </w:p>
    <w:p w14:paraId="550E1200" w14:textId="1CED7756" w:rsidR="00FD1581" w:rsidRPr="00FD1581" w:rsidRDefault="00FD1581" w:rsidP="00FD1581">
      <w:pPr>
        <w:spacing w:after="0" w:line="360" w:lineRule="auto"/>
        <w:jc w:val="both"/>
        <w:rPr>
          <w:rFonts w:ascii="Arial" w:eastAsia="Tahoma" w:hAnsi="Arial" w:cs="Arial"/>
          <w:b/>
          <w:sz w:val="24"/>
          <w:szCs w:val="24"/>
          <w:lang w:val="es-MX"/>
        </w:rPr>
      </w:pPr>
      <w:r>
        <w:rPr>
          <w:rFonts w:ascii="Arial" w:eastAsia="Tahoma" w:hAnsi="Arial" w:cs="Arial"/>
          <w:b/>
          <w:bCs/>
          <w:sz w:val="24"/>
          <w:szCs w:val="24"/>
          <w:lang w:val="es-MX"/>
        </w:rPr>
        <w:tab/>
      </w:r>
      <w:r w:rsidRPr="00FD1581">
        <w:rPr>
          <w:rFonts w:ascii="Arial" w:eastAsia="Tahoma" w:hAnsi="Arial" w:cs="Arial"/>
          <w:b/>
          <w:bCs/>
          <w:sz w:val="24"/>
          <w:szCs w:val="24"/>
          <w:lang w:val="es-MX"/>
        </w:rPr>
        <w:t>SEGUNDO.</w:t>
      </w:r>
      <w:r w:rsidRPr="00FD1581">
        <w:rPr>
          <w:rFonts w:ascii="Arial" w:eastAsia="Tahoma" w:hAnsi="Arial" w:cs="Arial"/>
          <w:b/>
          <w:sz w:val="24"/>
          <w:szCs w:val="24"/>
          <w:lang w:val="es-MX"/>
        </w:rPr>
        <w:t xml:space="preserve">  </w:t>
      </w:r>
      <w:r w:rsidR="0028598F" w:rsidRPr="0028598F">
        <w:rPr>
          <w:rFonts w:ascii="Arial" w:eastAsia="Tahoma" w:hAnsi="Arial" w:cs="Arial"/>
          <w:bCs/>
          <w:sz w:val="24"/>
          <w:szCs w:val="24"/>
          <w:lang w:val="es-MX"/>
        </w:rPr>
        <w:t>Publíquese en el Periódico Oficial del Estado y en el portal oficial del Tribunal Estatal de Justicia Administrativa, para dotar de máxima publicidad posible esta decisión.</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0AA35160"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ocho</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lastRenderedPageBreak/>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528793F7" w14:textId="77777777" w:rsidR="00DE50C5" w:rsidRDefault="00DE50C5" w:rsidP="00DE50C5">
      <w:pPr>
        <w:spacing w:after="0"/>
        <w:jc w:val="both"/>
        <w:rPr>
          <w:rFonts w:ascii="Arial" w:hAnsi="Arial" w:cs="Arial"/>
          <w:sz w:val="24"/>
          <w:szCs w:val="24"/>
        </w:rPr>
      </w:pPr>
    </w:p>
    <w:p w14:paraId="2E828AE8" w14:textId="77777777" w:rsidR="0068339E" w:rsidRDefault="0068339E" w:rsidP="00DE50C5">
      <w:pPr>
        <w:spacing w:after="0" w:line="240" w:lineRule="auto"/>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5089B87" w14:textId="77777777" w:rsidR="0052440E" w:rsidRDefault="0052440E"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498F1E87" w14:textId="77777777" w:rsidR="00E54C5D" w:rsidRPr="00BE7E3C"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7EEAF6A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D123BF0"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7A78D0CC" w14:textId="7EC07B3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0CEDB561" w14:textId="77777777" w:rsidR="00370C7A" w:rsidRDefault="00370C7A" w:rsidP="00DE50C5">
      <w:pPr>
        <w:spacing w:after="0" w:line="240" w:lineRule="auto"/>
        <w:jc w:val="both"/>
        <w:rPr>
          <w:rFonts w:ascii="Arial" w:eastAsia="Tahoma" w:hAnsi="Arial" w:cs="Arial"/>
          <w:b/>
          <w:bCs/>
          <w:sz w:val="20"/>
          <w:szCs w:val="20"/>
        </w:rPr>
      </w:pPr>
    </w:p>
    <w:p w14:paraId="62A7F1E3" w14:textId="77777777" w:rsidR="00370C7A" w:rsidRDefault="00370C7A" w:rsidP="00DE50C5">
      <w:pPr>
        <w:spacing w:after="0" w:line="240" w:lineRule="auto"/>
        <w:jc w:val="both"/>
        <w:rPr>
          <w:rFonts w:ascii="Arial" w:eastAsia="Tahoma" w:hAnsi="Arial" w:cs="Arial"/>
          <w:b/>
          <w:bCs/>
          <w:sz w:val="20"/>
          <w:szCs w:val="20"/>
        </w:rPr>
      </w:pPr>
    </w:p>
    <w:p w14:paraId="324C7BF7" w14:textId="77777777" w:rsidR="00370C7A" w:rsidRDefault="00370C7A"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2118E7A2"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849F" w14:textId="77777777" w:rsidR="001010C8" w:rsidRDefault="001010C8" w:rsidP="00DE50C5">
      <w:pPr>
        <w:spacing w:after="0" w:line="240" w:lineRule="auto"/>
      </w:pPr>
      <w:r>
        <w:separator/>
      </w:r>
    </w:p>
  </w:endnote>
  <w:endnote w:type="continuationSeparator" w:id="0">
    <w:p w14:paraId="67B6628F" w14:textId="77777777" w:rsidR="001010C8" w:rsidRDefault="001010C8"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1E99BFCB"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06</w:t>
        </w:r>
        <w:r w:rsidR="00FD1581">
          <w:rPr>
            <w:rFonts w:ascii="Arial" w:hAnsi="Arial" w:cs="Arial"/>
          </w:rPr>
          <w:t>6</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A667" w14:textId="77777777" w:rsidR="001010C8" w:rsidRDefault="001010C8" w:rsidP="00DE50C5">
      <w:pPr>
        <w:spacing w:after="0" w:line="240" w:lineRule="auto"/>
      </w:pPr>
      <w:r>
        <w:separator/>
      </w:r>
    </w:p>
  </w:footnote>
  <w:footnote w:type="continuationSeparator" w:id="0">
    <w:p w14:paraId="5C8756C9" w14:textId="77777777" w:rsidR="001010C8" w:rsidRDefault="001010C8" w:rsidP="00DE50C5">
      <w:pPr>
        <w:spacing w:after="0" w:line="240" w:lineRule="auto"/>
      </w:pPr>
      <w:r>
        <w:continuationSeparator/>
      </w:r>
    </w:p>
  </w:footnote>
  <w:footnote w:id="1">
    <w:p w14:paraId="512775E7" w14:textId="24DF9156" w:rsidR="00FC247A" w:rsidRPr="001E50D1"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06</w:t>
      </w:r>
      <w:r w:rsidR="001E50D1">
        <w:rPr>
          <w:rFonts w:ascii="Arial" w:eastAsia="Tahoma" w:hAnsi="Arial" w:cs="Arial"/>
          <w:sz w:val="20"/>
          <w:szCs w:val="20"/>
        </w:rPr>
        <w:t>6</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B27B4B">
        <w:rPr>
          <w:rFonts w:ascii="Arial" w:eastAsia="Tahoma" w:hAnsi="Arial" w:cs="Arial"/>
          <w:sz w:val="20"/>
          <w:szCs w:val="20"/>
        </w:rPr>
        <w:t>ocho</w:t>
      </w:r>
      <w:r w:rsidR="004C0A54">
        <w:rPr>
          <w:rFonts w:ascii="Arial" w:eastAsia="Tahoma" w:hAnsi="Arial" w:cs="Arial"/>
          <w:sz w:val="20"/>
          <w:szCs w:val="20"/>
        </w:rPr>
        <w:t xml:space="preserve"> 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en el cual se</w:t>
      </w:r>
      <w:r w:rsidR="006F4983">
        <w:rPr>
          <w:rFonts w:ascii="Arial" w:eastAsia="Tahoma" w:hAnsi="Arial" w:cs="Arial"/>
          <w:sz w:val="20"/>
          <w:szCs w:val="20"/>
        </w:rPr>
        <w:t xml:space="preserve"> aprueba</w:t>
      </w:r>
      <w:r w:rsidRPr="00F06309">
        <w:rPr>
          <w:rFonts w:ascii="Arial" w:eastAsia="Tahoma" w:hAnsi="Arial" w:cs="Arial"/>
          <w:sz w:val="20"/>
          <w:szCs w:val="20"/>
        </w:rPr>
        <w:t xml:space="preserve"> </w:t>
      </w:r>
      <w:r w:rsidR="001E50D1" w:rsidRPr="001E50D1">
        <w:rPr>
          <w:rFonts w:ascii="Arial" w:hAnsi="Arial" w:cs="Arial"/>
          <w:sz w:val="20"/>
          <w:szCs w:val="20"/>
        </w:rPr>
        <w:t>la</w:t>
      </w:r>
      <w:r w:rsidR="001E50D1">
        <w:rPr>
          <w:rFonts w:ascii="Arial" w:hAnsi="Arial" w:cs="Arial"/>
          <w:sz w:val="24"/>
          <w:szCs w:val="24"/>
        </w:rPr>
        <w:t xml:space="preserve"> </w:t>
      </w:r>
      <w:r w:rsidR="001E50D1" w:rsidRPr="001E50D1">
        <w:rPr>
          <w:rFonts w:ascii="Arial" w:hAnsi="Arial" w:cs="Arial"/>
          <w:sz w:val="20"/>
          <w:szCs w:val="20"/>
        </w:rPr>
        <w:t>modificación al calendario oficial de labores del Tribunal</w:t>
      </w:r>
      <w:r w:rsidRPr="001E50D1">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976F3"/>
    <w:rsid w:val="000A0E44"/>
    <w:rsid w:val="000B3BB6"/>
    <w:rsid w:val="000B6926"/>
    <w:rsid w:val="000B73D8"/>
    <w:rsid w:val="000C4EB5"/>
    <w:rsid w:val="000C7F13"/>
    <w:rsid w:val="000D4570"/>
    <w:rsid w:val="000D671F"/>
    <w:rsid w:val="000E02CB"/>
    <w:rsid w:val="000E3E70"/>
    <w:rsid w:val="000F0AA0"/>
    <w:rsid w:val="000F13FA"/>
    <w:rsid w:val="000F42B7"/>
    <w:rsid w:val="0010083E"/>
    <w:rsid w:val="001010C8"/>
    <w:rsid w:val="0010340A"/>
    <w:rsid w:val="00106418"/>
    <w:rsid w:val="00113A61"/>
    <w:rsid w:val="00121FB3"/>
    <w:rsid w:val="0012478C"/>
    <w:rsid w:val="00132850"/>
    <w:rsid w:val="0013623D"/>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E50D1"/>
    <w:rsid w:val="001E6919"/>
    <w:rsid w:val="001F7C0E"/>
    <w:rsid w:val="00211B9F"/>
    <w:rsid w:val="00212532"/>
    <w:rsid w:val="00213FDB"/>
    <w:rsid w:val="002151DB"/>
    <w:rsid w:val="00222FE9"/>
    <w:rsid w:val="00223E3D"/>
    <w:rsid w:val="002358B3"/>
    <w:rsid w:val="0024091E"/>
    <w:rsid w:val="002410CC"/>
    <w:rsid w:val="002502ED"/>
    <w:rsid w:val="00261C56"/>
    <w:rsid w:val="0027388F"/>
    <w:rsid w:val="0028598F"/>
    <w:rsid w:val="00294A09"/>
    <w:rsid w:val="00297128"/>
    <w:rsid w:val="002A0926"/>
    <w:rsid w:val="002B3147"/>
    <w:rsid w:val="002B3161"/>
    <w:rsid w:val="002B354A"/>
    <w:rsid w:val="002B48F7"/>
    <w:rsid w:val="002B6CCE"/>
    <w:rsid w:val="002C4B6A"/>
    <w:rsid w:val="002E6617"/>
    <w:rsid w:val="002F1C2C"/>
    <w:rsid w:val="002F3D3B"/>
    <w:rsid w:val="00301803"/>
    <w:rsid w:val="00304B93"/>
    <w:rsid w:val="0031132D"/>
    <w:rsid w:val="003160AB"/>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7967"/>
    <w:rsid w:val="003C0DF6"/>
    <w:rsid w:val="003C0E58"/>
    <w:rsid w:val="003C2A1F"/>
    <w:rsid w:val="003C2E5D"/>
    <w:rsid w:val="003C78A3"/>
    <w:rsid w:val="003D1941"/>
    <w:rsid w:val="003D2E78"/>
    <w:rsid w:val="003E52E6"/>
    <w:rsid w:val="003F570F"/>
    <w:rsid w:val="003F6454"/>
    <w:rsid w:val="003F74CA"/>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3C08"/>
    <w:rsid w:val="006350A8"/>
    <w:rsid w:val="00641723"/>
    <w:rsid w:val="0064295E"/>
    <w:rsid w:val="006479E0"/>
    <w:rsid w:val="0065052D"/>
    <w:rsid w:val="0065330D"/>
    <w:rsid w:val="0066075E"/>
    <w:rsid w:val="00666A97"/>
    <w:rsid w:val="00671F2C"/>
    <w:rsid w:val="006813D5"/>
    <w:rsid w:val="0068339E"/>
    <w:rsid w:val="006842C3"/>
    <w:rsid w:val="0069111C"/>
    <w:rsid w:val="006949FB"/>
    <w:rsid w:val="006954B6"/>
    <w:rsid w:val="006A3640"/>
    <w:rsid w:val="006A3FCA"/>
    <w:rsid w:val="006A4E9F"/>
    <w:rsid w:val="006C148A"/>
    <w:rsid w:val="006E3141"/>
    <w:rsid w:val="006E370C"/>
    <w:rsid w:val="006E63B0"/>
    <w:rsid w:val="006F27A9"/>
    <w:rsid w:val="006F4983"/>
    <w:rsid w:val="006F6FB9"/>
    <w:rsid w:val="00706F37"/>
    <w:rsid w:val="00710041"/>
    <w:rsid w:val="007101BD"/>
    <w:rsid w:val="00712F70"/>
    <w:rsid w:val="00716D4E"/>
    <w:rsid w:val="0072466B"/>
    <w:rsid w:val="00732F4D"/>
    <w:rsid w:val="00740F63"/>
    <w:rsid w:val="0074317F"/>
    <w:rsid w:val="007435D4"/>
    <w:rsid w:val="00746D29"/>
    <w:rsid w:val="00772A79"/>
    <w:rsid w:val="00775428"/>
    <w:rsid w:val="0078202F"/>
    <w:rsid w:val="00795333"/>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6835"/>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1782D"/>
    <w:rsid w:val="0092039D"/>
    <w:rsid w:val="00922545"/>
    <w:rsid w:val="009261DD"/>
    <w:rsid w:val="00930CC1"/>
    <w:rsid w:val="00932B91"/>
    <w:rsid w:val="009360FB"/>
    <w:rsid w:val="0095162A"/>
    <w:rsid w:val="00956285"/>
    <w:rsid w:val="00970029"/>
    <w:rsid w:val="00972539"/>
    <w:rsid w:val="0097556C"/>
    <w:rsid w:val="00976BB2"/>
    <w:rsid w:val="00997B3E"/>
    <w:rsid w:val="009A12D3"/>
    <w:rsid w:val="009A159C"/>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56914"/>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22628"/>
    <w:rsid w:val="00B277D3"/>
    <w:rsid w:val="00B27B4B"/>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1187"/>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03EC2"/>
    <w:rsid w:val="00D1445A"/>
    <w:rsid w:val="00D22ECA"/>
    <w:rsid w:val="00D24D64"/>
    <w:rsid w:val="00D256B5"/>
    <w:rsid w:val="00D3427B"/>
    <w:rsid w:val="00D40E98"/>
    <w:rsid w:val="00D44DCA"/>
    <w:rsid w:val="00D45298"/>
    <w:rsid w:val="00D50E36"/>
    <w:rsid w:val="00D52130"/>
    <w:rsid w:val="00D53388"/>
    <w:rsid w:val="00D60D04"/>
    <w:rsid w:val="00D61672"/>
    <w:rsid w:val="00D62C5C"/>
    <w:rsid w:val="00D64EF2"/>
    <w:rsid w:val="00D730C8"/>
    <w:rsid w:val="00D8426B"/>
    <w:rsid w:val="00D96FBB"/>
    <w:rsid w:val="00DA03A2"/>
    <w:rsid w:val="00DB1EE1"/>
    <w:rsid w:val="00DC0727"/>
    <w:rsid w:val="00DC1B29"/>
    <w:rsid w:val="00DC43AF"/>
    <w:rsid w:val="00DC43B5"/>
    <w:rsid w:val="00DC597E"/>
    <w:rsid w:val="00DC5AA4"/>
    <w:rsid w:val="00DE50C5"/>
    <w:rsid w:val="00DF4E50"/>
    <w:rsid w:val="00DF5356"/>
    <w:rsid w:val="00DF7017"/>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B51AE"/>
    <w:rsid w:val="00EB631B"/>
    <w:rsid w:val="00EB7934"/>
    <w:rsid w:val="00EC19C2"/>
    <w:rsid w:val="00EC2776"/>
    <w:rsid w:val="00EC2F3C"/>
    <w:rsid w:val="00EF1B05"/>
    <w:rsid w:val="00EF2DAB"/>
    <w:rsid w:val="00F05A6C"/>
    <w:rsid w:val="00F06309"/>
    <w:rsid w:val="00F12B63"/>
    <w:rsid w:val="00F23BCE"/>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1581"/>
    <w:rsid w:val="00FD4C08"/>
    <w:rsid w:val="00FD5073"/>
    <w:rsid w:val="00FD5B08"/>
    <w:rsid w:val="00FE2F0C"/>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1558</Words>
  <Characters>8569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8</cp:revision>
  <cp:lastPrinted>2025-11-27T18:42:00Z</cp:lastPrinted>
  <dcterms:created xsi:type="dcterms:W3CDTF">2026-09-08T17:21:00Z</dcterms:created>
  <dcterms:modified xsi:type="dcterms:W3CDTF">2026-09-08T19:54:00Z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