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45A7BFEB"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4D5EF3">
        <w:rPr>
          <w:rFonts w:ascii="Arial" w:hAnsi="Arial" w:cs="Arial"/>
          <w:b/>
          <w:sz w:val="26"/>
          <w:szCs w:val="26"/>
        </w:rPr>
        <w:t>0</w:t>
      </w:r>
      <w:r w:rsidR="00A73087">
        <w:rPr>
          <w:rFonts w:ascii="Arial" w:hAnsi="Arial" w:cs="Arial"/>
          <w:b/>
          <w:sz w:val="26"/>
          <w:szCs w:val="26"/>
        </w:rPr>
        <w:t>7</w:t>
      </w:r>
      <w:r w:rsidR="002B1DC1">
        <w:rPr>
          <w:rFonts w:ascii="Arial" w:hAnsi="Arial" w:cs="Arial"/>
          <w:b/>
          <w:sz w:val="26"/>
          <w:szCs w:val="26"/>
        </w:rPr>
        <w:t>1</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21767274"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002725A8">
        <w:rPr>
          <w:rFonts w:ascii="Arial" w:hAnsi="Arial" w:cs="Arial"/>
          <w:sz w:val="24"/>
          <w:szCs w:val="24"/>
        </w:rPr>
        <w:t>aprueba</w:t>
      </w:r>
      <w:r w:rsidR="002B1DC1">
        <w:rPr>
          <w:rFonts w:ascii="Arial" w:hAnsi="Arial" w:cs="Arial"/>
          <w:sz w:val="24"/>
          <w:szCs w:val="24"/>
        </w:rPr>
        <w:t xml:space="preserve"> nombramiento y designación de </w:t>
      </w:r>
      <w:r w:rsidR="00C21049">
        <w:rPr>
          <w:rFonts w:ascii="Arial" w:hAnsi="Arial" w:cs="Arial"/>
          <w:sz w:val="24"/>
          <w:szCs w:val="24"/>
        </w:rPr>
        <w:t>personal del Tribunal.</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4B234FDD" w:rsidR="005249A2" w:rsidRPr="005249A2" w:rsidRDefault="00DE50C5" w:rsidP="006A6E61">
      <w:pPr>
        <w:spacing w:after="0" w:line="360" w:lineRule="auto"/>
        <w:ind w:firstLine="708"/>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F75EB2">
        <w:rPr>
          <w:rFonts w:ascii="Arial" w:hAnsi="Arial" w:cs="Arial"/>
          <w:sz w:val="24"/>
          <w:szCs w:val="24"/>
        </w:rPr>
        <w:t xml:space="preserve">aprueba nombramiento </w:t>
      </w:r>
      <w:r w:rsidR="002725A8">
        <w:rPr>
          <w:rFonts w:ascii="Arial" w:hAnsi="Arial" w:cs="Arial"/>
          <w:sz w:val="24"/>
          <w:szCs w:val="24"/>
        </w:rPr>
        <w:t>y se designa temporalmente a personal de este Tribunal</w:t>
      </w:r>
      <w:r w:rsidR="00A73087">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6A6E61">
      <w:pPr>
        <w:spacing w:after="0" w:line="360" w:lineRule="auto"/>
        <w:ind w:firstLine="708"/>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6A6E61">
      <w:pPr>
        <w:spacing w:before="100" w:beforeAutospacing="1" w:after="100" w:afterAutospacing="1" w:line="360" w:lineRule="auto"/>
        <w:ind w:firstLine="708"/>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A6E61">
      <w:pPr>
        <w:spacing w:after="0" w:line="360" w:lineRule="auto"/>
        <w:ind w:firstLine="708"/>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4C1ADBBF" w:rsidR="00802A7A" w:rsidRDefault="009B4CF4" w:rsidP="006A6E61">
      <w:pPr>
        <w:spacing w:after="0" w:line="360" w:lineRule="auto"/>
        <w:ind w:firstLine="709"/>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 xml:space="preserve">En términos de lo que establece el artículo 14 de la Ley Orgánica del Tribunal </w:t>
      </w:r>
      <w:r w:rsidR="00493886">
        <w:rPr>
          <w:rFonts w:ascii="Arial" w:hAnsi="Arial" w:cs="Arial"/>
          <w:bCs/>
          <w:sz w:val="24"/>
          <w:szCs w:val="24"/>
        </w:rPr>
        <w:t xml:space="preserve">Estatal </w:t>
      </w:r>
      <w:r w:rsidR="00BA2D67">
        <w:rPr>
          <w:rFonts w:ascii="Arial" w:hAnsi="Arial" w:cs="Arial"/>
          <w:bCs/>
          <w:sz w:val="24"/>
          <w:szCs w:val="24"/>
        </w:rPr>
        <w:t>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630E7EE4" w14:textId="09C597E6" w:rsidR="00802A7A" w:rsidRDefault="00802A7A" w:rsidP="0064295E">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313CB210" w14:textId="77777777" w:rsidR="004C0A54" w:rsidRPr="004C0A54" w:rsidRDefault="004C0A54" w:rsidP="004C0A54">
      <w:pPr>
        <w:pStyle w:val="Prrafodelista"/>
        <w:spacing w:after="0" w:line="360" w:lineRule="auto"/>
        <w:jc w:val="both"/>
        <w:rPr>
          <w:rFonts w:ascii="Arial" w:hAnsi="Arial" w:cs="Arial"/>
          <w:bCs/>
          <w:sz w:val="24"/>
          <w:szCs w:val="24"/>
        </w:rPr>
      </w:pPr>
    </w:p>
    <w:p w14:paraId="31CB7477" w14:textId="7C70D954" w:rsidR="00641723" w:rsidRPr="007A0D81" w:rsidRDefault="00083C9F" w:rsidP="006A6E61">
      <w:pPr>
        <w:spacing w:after="0" w:line="360" w:lineRule="auto"/>
        <w:ind w:firstLine="709"/>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511A9B68" w14:textId="77777777" w:rsidR="00F8234D" w:rsidRPr="007704EA" w:rsidRDefault="000A0E44" w:rsidP="00F8234D">
      <w:pPr>
        <w:spacing w:before="100" w:beforeAutospacing="1" w:after="100" w:afterAutospacing="1" w:line="360" w:lineRule="auto"/>
        <w:ind w:firstLine="709"/>
        <w:jc w:val="both"/>
        <w:rPr>
          <w:rFonts w:ascii="Arial" w:hAnsi="Arial" w:cs="Arial"/>
          <w:bCs/>
          <w:sz w:val="24"/>
          <w:szCs w:val="24"/>
        </w:rPr>
      </w:pPr>
      <w:r w:rsidRPr="0029013A">
        <w:rPr>
          <w:rFonts w:ascii="Arial" w:hAnsi="Arial" w:cs="Arial"/>
          <w:b/>
          <w:sz w:val="24"/>
          <w:szCs w:val="24"/>
        </w:rPr>
        <w:t xml:space="preserve">VI. </w:t>
      </w:r>
      <w:r w:rsidR="00886A89">
        <w:rPr>
          <w:rFonts w:ascii="Arial" w:hAnsi="Arial" w:cs="Arial"/>
          <w:b/>
          <w:bCs/>
          <w:sz w:val="24"/>
          <w:szCs w:val="24"/>
          <w:lang w:val="es-MX"/>
        </w:rPr>
        <w:t>Nombramiento</w:t>
      </w:r>
      <w:r w:rsidR="00F8234D">
        <w:rPr>
          <w:rFonts w:ascii="Arial" w:hAnsi="Arial" w:cs="Arial"/>
          <w:b/>
          <w:bCs/>
          <w:sz w:val="24"/>
          <w:szCs w:val="24"/>
          <w:lang w:val="es-MX"/>
        </w:rPr>
        <w:t xml:space="preserve"> de personal. </w:t>
      </w:r>
      <w:r w:rsidR="00F8234D" w:rsidRPr="007704EA">
        <w:rPr>
          <w:rFonts w:ascii="Arial" w:hAnsi="Arial" w:cs="Arial"/>
          <w:bCs/>
          <w:sz w:val="24"/>
          <w:szCs w:val="24"/>
        </w:rPr>
        <w:t>Las Condiciones Generales de Trabajo del Tribunal Estatal de Justicia Administrativa establecen el marco general aplicable al ingreso y nombramiento de su personal.</w:t>
      </w:r>
    </w:p>
    <w:p w14:paraId="04C8BFD3" w14:textId="77777777" w:rsidR="00F8234D" w:rsidRPr="007704EA" w:rsidRDefault="00F8234D" w:rsidP="00F8234D">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En particular, su artículo 8 dispone que el ingreso deberá atender a los requisitos constitucionales y legales, al perfil del puesto, mérito, capacidad, igualdad de oportunidades, ausencia de conflicto de interés, así como a la disponibilidad de plaza y presupuesto. </w:t>
      </w:r>
    </w:p>
    <w:p w14:paraId="2473A95E" w14:textId="77777777" w:rsidR="00F8234D" w:rsidRPr="007704EA" w:rsidRDefault="00F8234D" w:rsidP="00F8234D">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Asimismo, el artículo 9 establece la documentación que deberá acreditar la persona de nuevo ingreso, relativa a su identidad, escolaridad, experiencia, requisitos del perfil, situación fiscal y de seguridad social, constancia de no inhabilitación en el servicio público, así como las declaraciones o constancias que resulten exigibles. </w:t>
      </w:r>
    </w:p>
    <w:p w14:paraId="043538F8" w14:textId="77777777" w:rsidR="00F8234D" w:rsidRPr="007704EA" w:rsidRDefault="00F8234D" w:rsidP="00F8234D">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Finalmente, </w:t>
      </w:r>
      <w:r w:rsidRPr="00F8234D">
        <w:rPr>
          <w:rFonts w:ascii="Arial" w:hAnsi="Arial" w:cs="Arial"/>
          <w:bCs/>
          <w:sz w:val="24"/>
          <w:szCs w:val="24"/>
          <w:lang w:val="es-MX"/>
        </w:rPr>
        <w:t>el artículo 11 prevé que los nombramientos podrán ser por tiempo indeterminado, cuando se expidan para ocupar una plaza permanente sin establecer fecha determinada para la conclusión de sus efectos, o por tiempo determinado, cuando tengan por objeto cubrir temporalmente una plaza, suplir ausencias, atender necesidades transitorias</w:t>
      </w:r>
      <w:r w:rsidRPr="007704EA">
        <w:rPr>
          <w:rFonts w:ascii="Arial" w:hAnsi="Arial" w:cs="Arial"/>
          <w:bCs/>
          <w:sz w:val="24"/>
          <w:szCs w:val="24"/>
          <w:lang w:val="es-MX"/>
        </w:rPr>
        <w:t xml:space="preserve"> del servicio o desempeñar funciones </w:t>
      </w:r>
      <w:r w:rsidRPr="007704EA">
        <w:rPr>
          <w:rFonts w:ascii="Arial" w:hAnsi="Arial" w:cs="Arial"/>
          <w:bCs/>
          <w:sz w:val="24"/>
          <w:szCs w:val="24"/>
          <w:lang w:val="es-MX"/>
        </w:rPr>
        <w:lastRenderedPageBreak/>
        <w:t xml:space="preserve">cuya duración se encuentre previamente definida, debiendo precisarse en el nombramiento su carácter y temporalidad. </w:t>
      </w:r>
    </w:p>
    <w:p w14:paraId="08D72FF4" w14:textId="77777777" w:rsidR="00F8234D" w:rsidRPr="007704EA" w:rsidRDefault="00F8234D" w:rsidP="00F8234D">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En consecuencia, corresponde al Pleno, en ejercicio de las atribuciones que le confiere la Ley Orgánica, aprobar los nombramientos del personal verificando que se satisfagan los requisitos aplicables al puesto, así como la existencia de plaza y suficiencia presupuestaria correspondientes.</w:t>
      </w:r>
    </w:p>
    <w:p w14:paraId="292F7762" w14:textId="47DB8733" w:rsidR="00F8234D" w:rsidRDefault="00886A89" w:rsidP="00886A89">
      <w:pPr>
        <w:spacing w:before="100" w:beforeAutospacing="1" w:after="100" w:afterAutospacing="1" w:line="360" w:lineRule="auto"/>
        <w:ind w:firstLine="709"/>
        <w:jc w:val="both"/>
        <w:rPr>
          <w:rFonts w:ascii="Arial" w:hAnsi="Arial" w:cs="Arial"/>
          <w:sz w:val="24"/>
          <w:szCs w:val="24"/>
        </w:rPr>
      </w:pPr>
      <w:r w:rsidRPr="00886A89">
        <w:rPr>
          <w:rFonts w:ascii="Arial" w:hAnsi="Arial" w:cs="Arial"/>
          <w:bCs/>
          <w:sz w:val="24"/>
          <w:szCs w:val="24"/>
          <w:lang w:val="es-MX"/>
        </w:rPr>
        <w:t xml:space="preserve">Que </w:t>
      </w:r>
      <w:r w:rsidR="00EA17CE">
        <w:rPr>
          <w:rFonts w:ascii="Arial" w:hAnsi="Arial" w:cs="Arial"/>
          <w:bCs/>
          <w:sz w:val="24"/>
          <w:szCs w:val="24"/>
          <w:lang w:val="es-MX"/>
        </w:rPr>
        <w:t xml:space="preserve">actualmente se encuentra vacante la plaza de </w:t>
      </w:r>
      <w:r w:rsidR="006455B3" w:rsidRPr="00EA17CE">
        <w:rPr>
          <w:rFonts w:ascii="Arial" w:hAnsi="Arial" w:cs="Arial"/>
          <w:bCs/>
          <w:sz w:val="24"/>
          <w:szCs w:val="24"/>
        </w:rPr>
        <w:t xml:space="preserve">Secretaría Adjunta </w:t>
      </w:r>
      <w:r w:rsidR="00EA17CE">
        <w:rPr>
          <w:rFonts w:ascii="Arial" w:hAnsi="Arial" w:cs="Arial"/>
          <w:bCs/>
          <w:sz w:val="24"/>
          <w:szCs w:val="24"/>
        </w:rPr>
        <w:t>d</w:t>
      </w:r>
      <w:r w:rsidR="006455B3" w:rsidRPr="00EA17CE">
        <w:rPr>
          <w:rFonts w:ascii="Arial" w:hAnsi="Arial" w:cs="Arial"/>
          <w:bCs/>
          <w:sz w:val="24"/>
          <w:szCs w:val="24"/>
        </w:rPr>
        <w:t>el Tribunal</w:t>
      </w:r>
      <w:r w:rsidR="006449DE">
        <w:rPr>
          <w:rFonts w:ascii="Arial" w:hAnsi="Arial" w:cs="Arial"/>
          <w:bCs/>
          <w:sz w:val="24"/>
          <w:szCs w:val="24"/>
        </w:rPr>
        <w:t xml:space="preserve"> Estatal de Justicia Administrativa adscrita a presidencia,</w:t>
      </w:r>
      <w:r w:rsidR="00F8234D">
        <w:rPr>
          <w:rFonts w:ascii="Arial" w:hAnsi="Arial" w:cs="Arial"/>
          <w:bCs/>
          <w:sz w:val="24"/>
          <w:szCs w:val="24"/>
        </w:rPr>
        <w:t xml:space="preserve"> </w:t>
      </w:r>
      <w:r w:rsidR="00F8234D">
        <w:rPr>
          <w:rFonts w:ascii="Arial" w:hAnsi="Arial" w:cs="Arial"/>
          <w:sz w:val="24"/>
          <w:szCs w:val="24"/>
        </w:rPr>
        <w:t>por lo que</w:t>
      </w:r>
      <w:r w:rsidR="00F8234D" w:rsidRPr="00EA17CE">
        <w:rPr>
          <w:rFonts w:ascii="Arial" w:hAnsi="Arial" w:cs="Arial"/>
          <w:sz w:val="24"/>
          <w:szCs w:val="24"/>
        </w:rPr>
        <w:t xml:space="preserve"> este Pleno considera necesario que la designación</w:t>
      </w:r>
      <w:r w:rsidR="00F8234D">
        <w:rPr>
          <w:rFonts w:ascii="Arial" w:hAnsi="Arial" w:cs="Arial"/>
          <w:sz w:val="24"/>
          <w:szCs w:val="24"/>
        </w:rPr>
        <w:t xml:space="preserve"> de dicho cargo</w:t>
      </w:r>
      <w:r w:rsidR="00F8234D" w:rsidRPr="00EA17CE">
        <w:rPr>
          <w:rFonts w:ascii="Arial" w:hAnsi="Arial" w:cs="Arial"/>
          <w:sz w:val="24"/>
          <w:szCs w:val="24"/>
        </w:rPr>
        <w:t xml:space="preserve"> recaiga en una persona que, además de reunir los requisitos legales correspondientes, cuente con experiencia profesional, conocimiento del funcionamiento y organización del Tribunal, así como capacidad para asumir de manera apropiada las responsabilidades inherentes al empleo</w:t>
      </w:r>
      <w:r w:rsidR="00F8234D">
        <w:rPr>
          <w:rFonts w:ascii="Arial" w:hAnsi="Arial" w:cs="Arial"/>
          <w:sz w:val="24"/>
          <w:szCs w:val="24"/>
        </w:rPr>
        <w:t>.</w:t>
      </w:r>
    </w:p>
    <w:p w14:paraId="465EEAC7" w14:textId="31247E52" w:rsidR="00640B1B" w:rsidRDefault="00F8234D" w:rsidP="00F8234D">
      <w:pPr>
        <w:spacing w:after="0" w:line="360" w:lineRule="auto"/>
        <w:ind w:firstLine="709"/>
        <w:jc w:val="both"/>
        <w:rPr>
          <w:rFonts w:ascii="Arial" w:hAnsi="Arial" w:cs="Arial"/>
          <w:bCs/>
          <w:sz w:val="24"/>
          <w:szCs w:val="24"/>
        </w:rPr>
      </w:pPr>
      <w:r>
        <w:rPr>
          <w:rFonts w:ascii="Arial" w:hAnsi="Arial" w:cs="Arial"/>
          <w:bCs/>
          <w:sz w:val="24"/>
          <w:szCs w:val="24"/>
        </w:rPr>
        <w:t>Así,</w:t>
      </w:r>
      <w:r w:rsidRPr="00EA17CE">
        <w:rPr>
          <w:rFonts w:ascii="Arial" w:hAnsi="Arial" w:cs="Arial"/>
          <w:bCs/>
          <w:sz w:val="24"/>
          <w:szCs w:val="24"/>
        </w:rPr>
        <w:t xml:space="preserve"> una vez valorados conjuntamente los elementos descritos, </w:t>
      </w:r>
      <w:r w:rsidR="00640B1B">
        <w:rPr>
          <w:rFonts w:ascii="Arial" w:hAnsi="Arial" w:cs="Arial"/>
          <w:bCs/>
          <w:sz w:val="24"/>
          <w:szCs w:val="24"/>
        </w:rPr>
        <w:t xml:space="preserve">y analizados los perfiles, </w:t>
      </w:r>
      <w:r w:rsidRPr="00EA17CE">
        <w:rPr>
          <w:rFonts w:ascii="Arial" w:hAnsi="Arial" w:cs="Arial"/>
          <w:bCs/>
          <w:sz w:val="24"/>
          <w:szCs w:val="24"/>
        </w:rPr>
        <w:t xml:space="preserve">este Pleno considera que </w:t>
      </w:r>
      <w:r w:rsidR="002D6B95">
        <w:rPr>
          <w:rFonts w:ascii="Arial" w:hAnsi="Arial" w:cs="Arial"/>
          <w:b/>
          <w:sz w:val="24"/>
          <w:szCs w:val="24"/>
        </w:rPr>
        <w:t xml:space="preserve">Diana Idalín </w:t>
      </w:r>
      <w:r w:rsidR="00F67BC1">
        <w:rPr>
          <w:rFonts w:ascii="Arial" w:hAnsi="Arial" w:cs="Arial"/>
          <w:b/>
          <w:sz w:val="24"/>
          <w:szCs w:val="24"/>
        </w:rPr>
        <w:t>Ruiz</w:t>
      </w:r>
      <w:r w:rsidR="002D6B95">
        <w:rPr>
          <w:rFonts w:ascii="Arial" w:hAnsi="Arial" w:cs="Arial"/>
          <w:b/>
          <w:sz w:val="24"/>
          <w:szCs w:val="24"/>
        </w:rPr>
        <w:t xml:space="preserve"> Anchondo</w:t>
      </w:r>
      <w:r w:rsidRPr="00EA17CE">
        <w:rPr>
          <w:rFonts w:ascii="Arial" w:hAnsi="Arial" w:cs="Arial"/>
          <w:bCs/>
          <w:sz w:val="24"/>
          <w:szCs w:val="24"/>
        </w:rPr>
        <w:t xml:space="preserve"> reúne las cualidades de idoneidad para recibir nombramiento</w:t>
      </w:r>
      <w:r w:rsidR="00640B1B">
        <w:rPr>
          <w:rFonts w:ascii="Arial" w:hAnsi="Arial" w:cs="Arial"/>
          <w:bCs/>
          <w:sz w:val="24"/>
          <w:szCs w:val="24"/>
        </w:rPr>
        <w:t xml:space="preserve"> por tiempo indeterminado</w:t>
      </w:r>
      <w:r w:rsidRPr="00EA17CE">
        <w:rPr>
          <w:rFonts w:ascii="Arial" w:hAnsi="Arial" w:cs="Arial"/>
          <w:bCs/>
          <w:sz w:val="24"/>
          <w:szCs w:val="24"/>
        </w:rPr>
        <w:t xml:space="preserve"> como </w:t>
      </w:r>
      <w:proofErr w:type="gramStart"/>
      <w:r w:rsidRPr="00EA17CE">
        <w:rPr>
          <w:rFonts w:ascii="Arial" w:hAnsi="Arial" w:cs="Arial"/>
          <w:bCs/>
          <w:sz w:val="24"/>
          <w:szCs w:val="24"/>
        </w:rPr>
        <w:t>Secretaria</w:t>
      </w:r>
      <w:proofErr w:type="gramEnd"/>
      <w:r w:rsidRPr="00EA17CE">
        <w:rPr>
          <w:rFonts w:ascii="Arial" w:hAnsi="Arial" w:cs="Arial"/>
          <w:bCs/>
          <w:sz w:val="24"/>
          <w:szCs w:val="24"/>
        </w:rPr>
        <w:t xml:space="preserve"> Adjunta</w:t>
      </w:r>
      <w:r w:rsidR="002A6DD9">
        <w:rPr>
          <w:rFonts w:ascii="Arial" w:hAnsi="Arial" w:cs="Arial"/>
          <w:bCs/>
          <w:sz w:val="24"/>
          <w:szCs w:val="24"/>
        </w:rPr>
        <w:t xml:space="preserve"> de este Tribuna</w:t>
      </w:r>
      <w:r w:rsidR="00640B1B">
        <w:rPr>
          <w:rFonts w:ascii="Arial" w:hAnsi="Arial" w:cs="Arial"/>
          <w:bCs/>
          <w:sz w:val="24"/>
          <w:szCs w:val="24"/>
        </w:rPr>
        <w:t xml:space="preserve">l. </w:t>
      </w:r>
    </w:p>
    <w:p w14:paraId="368D951B" w14:textId="77777777" w:rsidR="00640B1B" w:rsidRDefault="00640B1B" w:rsidP="00F8234D">
      <w:pPr>
        <w:spacing w:after="0" w:line="360" w:lineRule="auto"/>
        <w:ind w:firstLine="709"/>
        <w:jc w:val="both"/>
        <w:rPr>
          <w:rFonts w:ascii="Arial" w:hAnsi="Arial" w:cs="Arial"/>
          <w:bCs/>
          <w:sz w:val="24"/>
          <w:szCs w:val="24"/>
        </w:rPr>
      </w:pPr>
    </w:p>
    <w:p w14:paraId="391CA9A7" w14:textId="7693FA9E" w:rsidR="00F8234D" w:rsidRPr="00EA17CE" w:rsidRDefault="00640B1B" w:rsidP="00F8234D">
      <w:pPr>
        <w:spacing w:after="0" w:line="360" w:lineRule="auto"/>
        <w:ind w:firstLine="709"/>
        <w:jc w:val="both"/>
        <w:rPr>
          <w:rFonts w:ascii="Arial" w:hAnsi="Arial" w:cs="Arial"/>
          <w:bCs/>
          <w:sz w:val="24"/>
          <w:szCs w:val="24"/>
        </w:rPr>
      </w:pPr>
      <w:r>
        <w:rPr>
          <w:rFonts w:ascii="Arial" w:hAnsi="Arial" w:cs="Arial"/>
          <w:bCs/>
          <w:sz w:val="24"/>
          <w:szCs w:val="24"/>
        </w:rPr>
        <w:t>De igual manera</w:t>
      </w:r>
      <w:r w:rsidR="002D6B95">
        <w:rPr>
          <w:rFonts w:ascii="Arial" w:hAnsi="Arial" w:cs="Arial"/>
          <w:bCs/>
          <w:sz w:val="24"/>
          <w:szCs w:val="24"/>
        </w:rPr>
        <w:t>,</w:t>
      </w:r>
      <w:r>
        <w:rPr>
          <w:rFonts w:ascii="Arial" w:hAnsi="Arial" w:cs="Arial"/>
          <w:bCs/>
          <w:sz w:val="24"/>
          <w:szCs w:val="24"/>
        </w:rPr>
        <w:t xml:space="preserve"> </w:t>
      </w:r>
      <w:r w:rsidRPr="00640B1B">
        <w:rPr>
          <w:rFonts w:ascii="Arial" w:hAnsi="Arial" w:cs="Arial"/>
          <w:bCs/>
          <w:sz w:val="24"/>
          <w:szCs w:val="24"/>
        </w:rPr>
        <w:t xml:space="preserve">de la revisión efectuada </w:t>
      </w:r>
      <w:r w:rsidRPr="00640B1B">
        <w:rPr>
          <w:rFonts w:ascii="Arial" w:hAnsi="Arial" w:cs="Arial"/>
          <w:sz w:val="24"/>
          <w:szCs w:val="24"/>
        </w:rPr>
        <w:t>no se advierte la existencia de conflicto de interés ni impedimento legal para ocupar el cargo,</w:t>
      </w:r>
      <w:r w:rsidRPr="00640B1B">
        <w:rPr>
          <w:rFonts w:ascii="Arial" w:hAnsi="Arial" w:cs="Arial"/>
          <w:bCs/>
          <w:sz w:val="24"/>
          <w:szCs w:val="24"/>
        </w:rPr>
        <w:t xml:space="preserve"> aunado a que cuenta con experiencia y conocimiento del funcionamiento institucional del Tribunal.</w:t>
      </w:r>
    </w:p>
    <w:p w14:paraId="709DF363" w14:textId="536CB03C" w:rsidR="00640B1B" w:rsidRDefault="002D6B95" w:rsidP="00640B1B">
      <w:pPr>
        <w:spacing w:before="100" w:beforeAutospacing="1" w:after="100" w:afterAutospacing="1" w:line="360" w:lineRule="auto"/>
        <w:ind w:firstLine="708"/>
        <w:jc w:val="both"/>
        <w:rPr>
          <w:rFonts w:ascii="Arial" w:hAnsi="Arial" w:cs="Arial"/>
          <w:bCs/>
          <w:sz w:val="24"/>
          <w:szCs w:val="24"/>
        </w:rPr>
      </w:pPr>
      <w:r w:rsidRPr="002D6B95">
        <w:rPr>
          <w:rFonts w:ascii="Arial" w:hAnsi="Arial" w:cs="Arial"/>
          <w:bCs/>
          <w:sz w:val="24"/>
          <w:szCs w:val="24"/>
        </w:rPr>
        <w:t xml:space="preserve">En tal virtud, al cumplirse los requisitos y la documentación de ingreso aplicables, existir disponibilidad de la plaza y suficiencia presupuestaria, y no advertirse impedimento legal alguno para ocupar el cargo, este Pleno considera procedente el nombramiento </w:t>
      </w:r>
      <w:r w:rsidR="00640B1B">
        <w:rPr>
          <w:rFonts w:ascii="Arial" w:hAnsi="Arial" w:cs="Arial"/>
          <w:bCs/>
          <w:sz w:val="24"/>
          <w:szCs w:val="24"/>
        </w:rPr>
        <w:t xml:space="preserve">en comento, </w:t>
      </w:r>
      <w:r w:rsidR="00640B1B" w:rsidRPr="00E473E2">
        <w:rPr>
          <w:rFonts w:ascii="Arial" w:hAnsi="Arial" w:cs="Arial"/>
          <w:bCs/>
          <w:sz w:val="24"/>
          <w:szCs w:val="24"/>
        </w:rPr>
        <w:t>con fundamento en el artículo 9, fracción VI, de la Ley Orgánica del Tribunal, así como en los artículos 8, 9</w:t>
      </w:r>
      <w:r w:rsidR="00640B1B">
        <w:rPr>
          <w:rFonts w:ascii="Arial" w:hAnsi="Arial" w:cs="Arial"/>
          <w:bCs/>
          <w:sz w:val="24"/>
          <w:szCs w:val="24"/>
        </w:rPr>
        <w:t xml:space="preserve"> </w:t>
      </w:r>
      <w:r w:rsidR="00640B1B" w:rsidRPr="00E473E2">
        <w:rPr>
          <w:rFonts w:ascii="Arial" w:hAnsi="Arial" w:cs="Arial"/>
          <w:bCs/>
          <w:sz w:val="24"/>
          <w:szCs w:val="24"/>
        </w:rPr>
        <w:t>y 11 de las Condiciones Generales de Trabajo</w:t>
      </w:r>
      <w:r w:rsidR="00640B1B">
        <w:rPr>
          <w:rFonts w:ascii="Arial" w:hAnsi="Arial" w:cs="Arial"/>
          <w:bCs/>
          <w:sz w:val="24"/>
          <w:szCs w:val="24"/>
        </w:rPr>
        <w:t xml:space="preserve"> del Tribunal. </w:t>
      </w:r>
    </w:p>
    <w:p w14:paraId="444CE7B1" w14:textId="05F42B39" w:rsidR="006455B3" w:rsidRPr="00EA17CE" w:rsidRDefault="004E42EB" w:rsidP="004E42EB">
      <w:pPr>
        <w:spacing w:before="100" w:beforeAutospacing="1" w:after="100" w:afterAutospacing="1" w:line="360" w:lineRule="auto"/>
        <w:ind w:firstLine="708"/>
        <w:jc w:val="both"/>
        <w:rPr>
          <w:rFonts w:ascii="Arial" w:hAnsi="Arial" w:cs="Arial"/>
          <w:bCs/>
          <w:sz w:val="24"/>
          <w:szCs w:val="24"/>
        </w:rPr>
      </w:pPr>
      <w:r w:rsidRPr="0029013A">
        <w:rPr>
          <w:rFonts w:ascii="Arial" w:hAnsi="Arial" w:cs="Arial"/>
          <w:b/>
          <w:sz w:val="24"/>
          <w:szCs w:val="24"/>
        </w:rPr>
        <w:lastRenderedPageBreak/>
        <w:t>V</w:t>
      </w:r>
      <w:r>
        <w:rPr>
          <w:rFonts w:ascii="Arial" w:hAnsi="Arial" w:cs="Arial"/>
          <w:b/>
          <w:sz w:val="24"/>
          <w:szCs w:val="24"/>
        </w:rPr>
        <w:t>I</w:t>
      </w:r>
      <w:r w:rsidRPr="0029013A">
        <w:rPr>
          <w:rFonts w:ascii="Arial" w:hAnsi="Arial" w:cs="Arial"/>
          <w:b/>
          <w:sz w:val="24"/>
          <w:szCs w:val="24"/>
        </w:rPr>
        <w:t xml:space="preserve">I. </w:t>
      </w:r>
      <w:r>
        <w:rPr>
          <w:rFonts w:ascii="Arial" w:hAnsi="Arial" w:cs="Arial"/>
          <w:b/>
          <w:bCs/>
          <w:sz w:val="24"/>
          <w:szCs w:val="24"/>
          <w:lang w:val="es-MX"/>
        </w:rPr>
        <w:t xml:space="preserve">Designación temporal de personal. </w:t>
      </w:r>
      <w:r w:rsidRPr="004E42EB">
        <w:rPr>
          <w:rFonts w:ascii="Arial" w:hAnsi="Arial" w:cs="Arial"/>
          <w:sz w:val="24"/>
          <w:szCs w:val="24"/>
          <w:lang w:val="es-MX"/>
        </w:rPr>
        <w:t xml:space="preserve">Que </w:t>
      </w:r>
      <w:r w:rsidR="00EA17CE">
        <w:rPr>
          <w:rFonts w:ascii="Arial" w:hAnsi="Arial" w:cs="Arial"/>
          <w:bCs/>
          <w:sz w:val="24"/>
          <w:szCs w:val="24"/>
        </w:rPr>
        <w:t xml:space="preserve">con motivo de la determinación adoptada </w:t>
      </w:r>
      <w:r w:rsidR="00886A89">
        <w:rPr>
          <w:rFonts w:ascii="Arial" w:hAnsi="Arial" w:cs="Arial"/>
          <w:bCs/>
          <w:sz w:val="24"/>
          <w:szCs w:val="24"/>
        </w:rPr>
        <w:t>en el ACUERDO PLENO 070/2026</w:t>
      </w:r>
      <w:r w:rsidR="00EA17CE">
        <w:rPr>
          <w:rFonts w:ascii="Arial" w:hAnsi="Arial" w:cs="Arial"/>
          <w:bCs/>
          <w:sz w:val="24"/>
          <w:szCs w:val="24"/>
        </w:rPr>
        <w:t xml:space="preserve">, </w:t>
      </w:r>
      <w:r w:rsidR="00886A89">
        <w:rPr>
          <w:rFonts w:ascii="Arial" w:hAnsi="Arial" w:cs="Arial"/>
          <w:bCs/>
          <w:sz w:val="24"/>
          <w:szCs w:val="24"/>
        </w:rPr>
        <w:t>se encuentra</w:t>
      </w:r>
      <w:r w:rsidR="00EA17CE">
        <w:rPr>
          <w:rFonts w:ascii="Arial" w:hAnsi="Arial" w:cs="Arial"/>
          <w:bCs/>
          <w:sz w:val="24"/>
          <w:szCs w:val="24"/>
        </w:rPr>
        <w:t xml:space="preserve"> vacante</w:t>
      </w:r>
      <w:r w:rsidR="00886A89">
        <w:rPr>
          <w:rFonts w:ascii="Arial" w:hAnsi="Arial" w:cs="Arial"/>
          <w:bCs/>
          <w:sz w:val="24"/>
          <w:szCs w:val="24"/>
        </w:rPr>
        <w:t xml:space="preserve"> </w:t>
      </w:r>
      <w:r w:rsidR="006455B3" w:rsidRPr="00EA17CE">
        <w:rPr>
          <w:rFonts w:ascii="Arial" w:hAnsi="Arial" w:cs="Arial"/>
          <w:bCs/>
          <w:sz w:val="24"/>
          <w:szCs w:val="24"/>
        </w:rPr>
        <w:t>la Primer</w:t>
      </w:r>
      <w:r w:rsidR="00EA17CE">
        <w:rPr>
          <w:rFonts w:ascii="Arial" w:hAnsi="Arial" w:cs="Arial"/>
          <w:bCs/>
          <w:sz w:val="24"/>
          <w:szCs w:val="24"/>
        </w:rPr>
        <w:t>a</w:t>
      </w:r>
      <w:r w:rsidR="006455B3" w:rsidRPr="00EA17CE">
        <w:rPr>
          <w:rFonts w:ascii="Arial" w:hAnsi="Arial" w:cs="Arial"/>
          <w:bCs/>
          <w:sz w:val="24"/>
          <w:szCs w:val="24"/>
        </w:rPr>
        <w:t xml:space="preserve"> Secretaría de Acuerdos de la Primera Sala Unitaria Administrativa</w:t>
      </w:r>
      <w:r>
        <w:rPr>
          <w:rFonts w:ascii="Arial" w:hAnsi="Arial" w:cs="Arial"/>
          <w:bCs/>
          <w:sz w:val="24"/>
          <w:szCs w:val="24"/>
        </w:rPr>
        <w:t>, motivo por el cual es</w:t>
      </w:r>
      <w:r w:rsidR="006455B3" w:rsidRPr="00EA17CE">
        <w:rPr>
          <w:rFonts w:ascii="Arial" w:hAnsi="Arial" w:cs="Arial"/>
          <w:bCs/>
          <w:sz w:val="24"/>
          <w:szCs w:val="24"/>
        </w:rPr>
        <w:t xml:space="preserve"> necesario adoptar una medida inmediata que garantice la continuidad del servicio y operatividad de la Sala</w:t>
      </w:r>
      <w:r>
        <w:rPr>
          <w:rFonts w:ascii="Arial" w:hAnsi="Arial" w:cs="Arial"/>
          <w:bCs/>
          <w:sz w:val="24"/>
          <w:szCs w:val="24"/>
        </w:rPr>
        <w:t>.</w:t>
      </w:r>
    </w:p>
    <w:p w14:paraId="29FA149B" w14:textId="77777777" w:rsidR="006455B3" w:rsidRPr="00EA17CE" w:rsidRDefault="006455B3" w:rsidP="006455B3">
      <w:pPr>
        <w:spacing w:after="0" w:line="360" w:lineRule="auto"/>
        <w:ind w:firstLine="709"/>
        <w:jc w:val="both"/>
        <w:rPr>
          <w:rFonts w:ascii="Arial" w:hAnsi="Arial" w:cs="Arial"/>
          <w:bCs/>
          <w:sz w:val="24"/>
          <w:szCs w:val="24"/>
        </w:rPr>
      </w:pPr>
      <w:r w:rsidRPr="00EA17CE">
        <w:rPr>
          <w:rFonts w:ascii="Arial" w:hAnsi="Arial" w:cs="Arial"/>
          <w:bCs/>
          <w:sz w:val="24"/>
          <w:szCs w:val="24"/>
        </w:rPr>
        <w:t xml:space="preserve">Ahora bien, el artículo 16 de las Condiciones Generales de Trabajo del Tribunal faculta al Pleno para designar temporalmente al personal en un empleo, cargo o comisión distinto al de su nombramiento, por necesidades del servicio, y reconoce el derecho a reincorporarse al empleo de origen al término de dicha designación, sin interrumpir la antigüedad institucional ni la continuidad de la relación laboral. Además, los artículos 17 y 18 del mismo ordenamiento, prevén que la remuneración corresponderá al puesto efectivamente desempeñado y la designación temporal subsistirá mientras permanezca la necesidad institucional que la motive. </w:t>
      </w:r>
    </w:p>
    <w:p w14:paraId="79F55A78" w14:textId="77777777" w:rsidR="006455B3" w:rsidRPr="00EA17CE" w:rsidRDefault="006455B3" w:rsidP="006455B3">
      <w:pPr>
        <w:spacing w:after="0" w:line="360" w:lineRule="auto"/>
        <w:ind w:firstLine="709"/>
        <w:jc w:val="both"/>
        <w:rPr>
          <w:rFonts w:ascii="Arial" w:hAnsi="Arial" w:cs="Arial"/>
          <w:bCs/>
          <w:sz w:val="24"/>
          <w:szCs w:val="24"/>
        </w:rPr>
      </w:pPr>
    </w:p>
    <w:p w14:paraId="549CAE78" w14:textId="35E3A5A5" w:rsidR="006455B3" w:rsidRDefault="006455B3" w:rsidP="006455B3">
      <w:pPr>
        <w:spacing w:after="0" w:line="360" w:lineRule="auto"/>
        <w:ind w:firstLine="709"/>
        <w:jc w:val="both"/>
        <w:rPr>
          <w:rFonts w:ascii="Arial" w:hAnsi="Arial" w:cs="Arial"/>
          <w:bCs/>
          <w:sz w:val="24"/>
          <w:szCs w:val="24"/>
        </w:rPr>
      </w:pPr>
      <w:r w:rsidRPr="00EA17CE">
        <w:rPr>
          <w:rFonts w:ascii="Arial" w:hAnsi="Arial" w:cs="Arial"/>
          <w:bCs/>
          <w:sz w:val="24"/>
          <w:szCs w:val="24"/>
        </w:rPr>
        <w:t xml:space="preserve">Con base en lo anterior, este Pleno estima adecuado designar temporalmente a la </w:t>
      </w:r>
      <w:r w:rsidR="004E42EB">
        <w:rPr>
          <w:rFonts w:ascii="Arial" w:hAnsi="Arial" w:cs="Arial"/>
          <w:bCs/>
          <w:sz w:val="24"/>
          <w:szCs w:val="24"/>
        </w:rPr>
        <w:t>persona servidora pública adscrita a la Secretaría Adjunta</w:t>
      </w:r>
      <w:r w:rsidR="007C0F40">
        <w:rPr>
          <w:rFonts w:ascii="Arial" w:hAnsi="Arial" w:cs="Arial"/>
          <w:bCs/>
          <w:sz w:val="24"/>
          <w:szCs w:val="24"/>
        </w:rPr>
        <w:t xml:space="preserve">, </w:t>
      </w:r>
      <w:r w:rsidR="002D6B95">
        <w:rPr>
          <w:rFonts w:ascii="Arial" w:hAnsi="Arial" w:cs="Arial"/>
          <w:bCs/>
          <w:sz w:val="24"/>
          <w:szCs w:val="24"/>
        </w:rPr>
        <w:t>D</w:t>
      </w:r>
      <w:r w:rsidR="007C0F40">
        <w:rPr>
          <w:rFonts w:ascii="Arial" w:hAnsi="Arial" w:cs="Arial"/>
          <w:bCs/>
          <w:sz w:val="24"/>
          <w:szCs w:val="24"/>
        </w:rPr>
        <w:t xml:space="preserve">iana Idalín </w:t>
      </w:r>
      <w:r w:rsidR="00F67BC1">
        <w:rPr>
          <w:rFonts w:ascii="Arial" w:hAnsi="Arial" w:cs="Arial"/>
          <w:bCs/>
          <w:sz w:val="24"/>
          <w:szCs w:val="24"/>
        </w:rPr>
        <w:t>Ruiz</w:t>
      </w:r>
      <w:r w:rsidR="007C0F40">
        <w:rPr>
          <w:rFonts w:ascii="Arial" w:hAnsi="Arial" w:cs="Arial"/>
          <w:bCs/>
          <w:sz w:val="24"/>
          <w:szCs w:val="24"/>
        </w:rPr>
        <w:t xml:space="preserve"> Anchondo,</w:t>
      </w:r>
      <w:r w:rsidRPr="00EA17CE">
        <w:rPr>
          <w:rFonts w:ascii="Arial" w:hAnsi="Arial" w:cs="Arial"/>
          <w:bCs/>
          <w:sz w:val="24"/>
          <w:szCs w:val="24"/>
        </w:rPr>
        <w:t xml:space="preserve"> como Primera </w:t>
      </w:r>
      <w:proofErr w:type="gramStart"/>
      <w:r w:rsidRPr="00EA17CE">
        <w:rPr>
          <w:rFonts w:ascii="Arial" w:hAnsi="Arial" w:cs="Arial"/>
          <w:bCs/>
          <w:sz w:val="24"/>
          <w:szCs w:val="24"/>
        </w:rPr>
        <w:t>Secretaria</w:t>
      </w:r>
      <w:proofErr w:type="gramEnd"/>
      <w:r w:rsidRPr="00EA17CE">
        <w:rPr>
          <w:rFonts w:ascii="Arial" w:hAnsi="Arial" w:cs="Arial"/>
          <w:bCs/>
          <w:sz w:val="24"/>
          <w:szCs w:val="24"/>
        </w:rPr>
        <w:t xml:space="preserve"> de Acuerdos de la Primera Sala Unitaria Administrativa para atender la suplencia de la Magistratura titular durante su ausencia</w:t>
      </w:r>
      <w:r w:rsidR="00B5470D">
        <w:rPr>
          <w:rFonts w:ascii="Arial" w:hAnsi="Arial" w:cs="Arial"/>
          <w:bCs/>
          <w:sz w:val="24"/>
          <w:szCs w:val="24"/>
        </w:rPr>
        <w:t>.</w:t>
      </w:r>
      <w:r w:rsidRPr="00EA17CE">
        <w:rPr>
          <w:rFonts w:ascii="Arial" w:hAnsi="Arial" w:cs="Arial"/>
          <w:bCs/>
          <w:sz w:val="24"/>
          <w:szCs w:val="24"/>
        </w:rPr>
        <w:t xml:space="preserve"> </w:t>
      </w:r>
    </w:p>
    <w:p w14:paraId="32962BF2" w14:textId="77777777" w:rsidR="00957C27" w:rsidRDefault="00957C27" w:rsidP="006455B3">
      <w:pPr>
        <w:spacing w:after="0" w:line="360" w:lineRule="auto"/>
        <w:ind w:firstLine="709"/>
        <w:jc w:val="both"/>
        <w:rPr>
          <w:rFonts w:ascii="Arial" w:hAnsi="Arial" w:cs="Arial"/>
          <w:bCs/>
          <w:sz w:val="24"/>
          <w:szCs w:val="24"/>
        </w:rPr>
      </w:pPr>
    </w:p>
    <w:p w14:paraId="127EAFA9" w14:textId="186E4994" w:rsidR="006455B3" w:rsidRDefault="002D6B95" w:rsidP="006455B3">
      <w:pPr>
        <w:spacing w:after="0" w:line="360" w:lineRule="auto"/>
        <w:ind w:firstLine="709"/>
        <w:jc w:val="both"/>
        <w:rPr>
          <w:rFonts w:ascii="Arial" w:hAnsi="Arial" w:cs="Arial"/>
          <w:bCs/>
          <w:sz w:val="24"/>
          <w:szCs w:val="24"/>
        </w:rPr>
      </w:pPr>
      <w:r w:rsidRPr="002D6B95">
        <w:rPr>
          <w:rFonts w:ascii="Arial" w:hAnsi="Arial" w:cs="Arial"/>
          <w:bCs/>
          <w:sz w:val="24"/>
          <w:szCs w:val="24"/>
        </w:rPr>
        <w:t>Asimismo, se estima favorable que su trayectoria institucional comprenda experiencia en áreas distintas a las Salas Unitarias, pues ello permite incorporar a su funcionamiento una perspectiva complementaria, derivada del conocimiento transversal de la organización y funcionamiento del Tribunal, favoreciendo la pluralidad de enfoques y criterios en el desarrollo de las funciones jurisdiccionales.</w:t>
      </w:r>
    </w:p>
    <w:p w14:paraId="3947804B" w14:textId="77777777" w:rsidR="002D6B95" w:rsidRPr="00EA17CE" w:rsidRDefault="002D6B95" w:rsidP="006455B3">
      <w:pPr>
        <w:spacing w:after="0" w:line="360" w:lineRule="auto"/>
        <w:ind w:firstLine="709"/>
        <w:jc w:val="both"/>
        <w:rPr>
          <w:rFonts w:ascii="Arial" w:hAnsi="Arial" w:cs="Arial"/>
          <w:bCs/>
          <w:sz w:val="24"/>
          <w:szCs w:val="24"/>
        </w:rPr>
      </w:pPr>
    </w:p>
    <w:p w14:paraId="31CB6A1F" w14:textId="77777777" w:rsidR="00B5470D" w:rsidRPr="00503953" w:rsidRDefault="00B5470D" w:rsidP="00B5470D">
      <w:pPr>
        <w:spacing w:after="0" w:line="360" w:lineRule="auto"/>
        <w:ind w:firstLine="709"/>
        <w:jc w:val="both"/>
        <w:rPr>
          <w:rFonts w:ascii="Arial" w:hAnsi="Arial" w:cs="Arial"/>
          <w:sz w:val="24"/>
          <w:szCs w:val="24"/>
          <w:lang w:val="es-MX"/>
        </w:rPr>
      </w:pPr>
      <w:r w:rsidRPr="00503953">
        <w:rPr>
          <w:rFonts w:ascii="Arial" w:hAnsi="Arial" w:cs="Arial"/>
          <w:sz w:val="24"/>
          <w:szCs w:val="24"/>
          <w:lang w:val="es-MX"/>
        </w:rPr>
        <w:t xml:space="preserve">La designación temporal como Primera </w:t>
      </w:r>
      <w:proofErr w:type="gramStart"/>
      <w:r w:rsidRPr="00503953">
        <w:rPr>
          <w:rFonts w:ascii="Arial" w:hAnsi="Arial" w:cs="Arial"/>
          <w:sz w:val="24"/>
          <w:szCs w:val="24"/>
          <w:lang w:val="es-MX"/>
        </w:rPr>
        <w:t>Secretaria</w:t>
      </w:r>
      <w:proofErr w:type="gramEnd"/>
      <w:r w:rsidRPr="00503953">
        <w:rPr>
          <w:rFonts w:ascii="Arial" w:hAnsi="Arial" w:cs="Arial"/>
          <w:sz w:val="24"/>
          <w:szCs w:val="24"/>
          <w:lang w:val="es-MX"/>
        </w:rPr>
        <w:t xml:space="preserve"> de Acuerdos subsistirá mientras permanezcan las circunstancias que justifican su cobertura temporal y, una vez concluida, la persona servidora pública conservará su nombramiento definitivo </w:t>
      </w:r>
      <w:r w:rsidRPr="00503953">
        <w:rPr>
          <w:rFonts w:ascii="Arial" w:hAnsi="Arial" w:cs="Arial"/>
          <w:sz w:val="24"/>
          <w:szCs w:val="24"/>
          <w:lang w:val="es-MX"/>
        </w:rPr>
        <w:lastRenderedPageBreak/>
        <w:t xml:space="preserve">y tendrá derecho a reincorporarse al empleo de </w:t>
      </w:r>
      <w:proofErr w:type="gramStart"/>
      <w:r w:rsidRPr="00503953">
        <w:rPr>
          <w:rFonts w:ascii="Arial" w:hAnsi="Arial" w:cs="Arial"/>
          <w:sz w:val="24"/>
          <w:szCs w:val="24"/>
          <w:lang w:val="es-MX"/>
        </w:rPr>
        <w:t>Secretaria</w:t>
      </w:r>
      <w:proofErr w:type="gramEnd"/>
      <w:r w:rsidRPr="00503953">
        <w:rPr>
          <w:rFonts w:ascii="Arial" w:hAnsi="Arial" w:cs="Arial"/>
          <w:sz w:val="24"/>
          <w:szCs w:val="24"/>
          <w:lang w:val="es-MX"/>
        </w:rPr>
        <w:t xml:space="preserve"> Adjunta, en términos de los artículos 16 y 18 de las Condiciones Generales de Trabajo del Tribunal. La conclusión de la designación temporal no interrumpirá la antigüedad institucional ni la continuidad de la relación laboral.</w:t>
      </w:r>
    </w:p>
    <w:p w14:paraId="367FE962" w14:textId="77777777" w:rsidR="00503953" w:rsidRPr="00503953" w:rsidRDefault="00503953" w:rsidP="00503953">
      <w:pPr>
        <w:spacing w:after="0" w:line="360" w:lineRule="auto"/>
        <w:ind w:firstLine="709"/>
        <w:jc w:val="both"/>
        <w:rPr>
          <w:rFonts w:ascii="Arial" w:hAnsi="Arial" w:cs="Arial"/>
          <w:sz w:val="24"/>
          <w:szCs w:val="24"/>
          <w:lang w:val="es-MX"/>
        </w:rPr>
      </w:pPr>
    </w:p>
    <w:p w14:paraId="2A76D18E" w14:textId="11A93EAB" w:rsidR="00732581" w:rsidRPr="00EA17CE" w:rsidRDefault="00732581" w:rsidP="00503953">
      <w:pPr>
        <w:spacing w:after="0" w:line="360" w:lineRule="auto"/>
        <w:ind w:firstLine="709"/>
        <w:jc w:val="both"/>
        <w:rPr>
          <w:rFonts w:ascii="Arial" w:hAnsi="Arial" w:cs="Arial"/>
          <w:bCs/>
          <w:sz w:val="24"/>
          <w:szCs w:val="24"/>
          <w:lang w:val="es-MX"/>
        </w:rPr>
      </w:pPr>
      <w:r w:rsidRPr="00EA17CE">
        <w:rPr>
          <w:rFonts w:ascii="Arial" w:hAnsi="Arial" w:cs="Arial"/>
          <w:bCs/>
          <w:sz w:val="24"/>
          <w:szCs w:val="24"/>
          <w:lang w:val="es-MX"/>
        </w:rPr>
        <w:t xml:space="preserve">Por lo anteriormente expuesto, el Pleno del Tribunal Estatal de Justicia Administrativa emite </w:t>
      </w:r>
      <w:r w:rsidR="00C21049" w:rsidRPr="00EA17CE">
        <w:rPr>
          <w:rFonts w:ascii="Arial" w:hAnsi="Arial" w:cs="Arial"/>
          <w:bCs/>
          <w:sz w:val="24"/>
          <w:szCs w:val="24"/>
          <w:lang w:val="es-MX"/>
        </w:rPr>
        <w:t>el</w:t>
      </w:r>
      <w:r w:rsidRPr="00EA17CE">
        <w:rPr>
          <w:rFonts w:ascii="Arial" w:hAnsi="Arial" w:cs="Arial"/>
          <w:bCs/>
          <w:sz w:val="24"/>
          <w:szCs w:val="24"/>
          <w:lang w:val="es-MX"/>
        </w:rPr>
        <w:t xml:space="preserve"> siguiente </w:t>
      </w:r>
      <w:r w:rsidR="00C21049" w:rsidRPr="00EA17CE">
        <w:rPr>
          <w:rFonts w:ascii="Arial" w:hAnsi="Arial" w:cs="Arial"/>
          <w:bCs/>
          <w:sz w:val="24"/>
          <w:szCs w:val="24"/>
          <w:lang w:val="es-MX"/>
        </w:rPr>
        <w:t>acuerdo:</w:t>
      </w:r>
    </w:p>
    <w:p w14:paraId="3E29AE2E" w14:textId="77777777" w:rsidR="009457BE" w:rsidRDefault="009457BE" w:rsidP="004D5EF3">
      <w:pPr>
        <w:tabs>
          <w:tab w:val="left" w:pos="6480"/>
        </w:tabs>
        <w:spacing w:after="0" w:line="360" w:lineRule="auto"/>
        <w:jc w:val="center"/>
        <w:rPr>
          <w:rFonts w:ascii="Arial" w:hAnsi="Arial" w:cs="Arial"/>
          <w:b/>
          <w:sz w:val="24"/>
          <w:szCs w:val="24"/>
        </w:rPr>
      </w:pPr>
    </w:p>
    <w:p w14:paraId="2204798C" w14:textId="5B7F4FEA" w:rsidR="004D5EF3" w:rsidRPr="00EA17CE" w:rsidRDefault="004D5EF3" w:rsidP="004D5EF3">
      <w:pPr>
        <w:tabs>
          <w:tab w:val="left" w:pos="6480"/>
        </w:tabs>
        <w:spacing w:after="0" w:line="360" w:lineRule="auto"/>
        <w:jc w:val="center"/>
        <w:rPr>
          <w:rFonts w:ascii="Arial" w:hAnsi="Arial" w:cs="Arial"/>
          <w:b/>
          <w:sz w:val="24"/>
          <w:szCs w:val="24"/>
        </w:rPr>
      </w:pPr>
      <w:r w:rsidRPr="00EA17CE">
        <w:rPr>
          <w:rFonts w:ascii="Arial" w:hAnsi="Arial" w:cs="Arial"/>
          <w:b/>
          <w:sz w:val="24"/>
          <w:szCs w:val="24"/>
        </w:rPr>
        <w:t>ACUERDO:</w:t>
      </w:r>
    </w:p>
    <w:p w14:paraId="20B7BCF6" w14:textId="77777777" w:rsidR="004D5EF3" w:rsidRPr="00EA17CE" w:rsidRDefault="004D5EF3" w:rsidP="004D5EF3">
      <w:pPr>
        <w:tabs>
          <w:tab w:val="left" w:pos="6480"/>
        </w:tabs>
        <w:spacing w:after="0" w:line="360" w:lineRule="auto"/>
        <w:ind w:firstLine="851"/>
        <w:jc w:val="both"/>
        <w:rPr>
          <w:rFonts w:ascii="Arial" w:hAnsi="Arial" w:cs="Arial"/>
          <w:b/>
          <w:bCs/>
          <w:sz w:val="24"/>
          <w:szCs w:val="24"/>
        </w:rPr>
      </w:pPr>
    </w:p>
    <w:p w14:paraId="624304EF" w14:textId="074D7D0A" w:rsidR="009E68BC" w:rsidRPr="00EA17CE" w:rsidRDefault="004D5EF3" w:rsidP="004D5EF3">
      <w:pPr>
        <w:tabs>
          <w:tab w:val="left" w:pos="6480"/>
        </w:tabs>
        <w:spacing w:after="0" w:line="360" w:lineRule="auto"/>
        <w:ind w:firstLine="851"/>
        <w:jc w:val="both"/>
        <w:rPr>
          <w:rFonts w:ascii="Arial" w:hAnsi="Arial" w:cs="Arial"/>
          <w:bCs/>
          <w:sz w:val="24"/>
          <w:szCs w:val="24"/>
        </w:rPr>
      </w:pPr>
      <w:r w:rsidRPr="00EA17CE">
        <w:rPr>
          <w:rFonts w:ascii="Arial" w:hAnsi="Arial" w:cs="Arial"/>
          <w:b/>
          <w:bCs/>
          <w:sz w:val="24"/>
          <w:szCs w:val="24"/>
        </w:rPr>
        <w:t xml:space="preserve">PRIMERO. </w:t>
      </w:r>
      <w:r w:rsidR="009457BE" w:rsidRPr="009457BE">
        <w:rPr>
          <w:rFonts w:ascii="Arial" w:hAnsi="Arial" w:cs="Arial"/>
          <w:bCs/>
          <w:sz w:val="24"/>
          <w:szCs w:val="24"/>
        </w:rPr>
        <w:t xml:space="preserve">Se aprueba el nombramiento definitivo de </w:t>
      </w:r>
      <w:r w:rsidR="002D6B95">
        <w:rPr>
          <w:rFonts w:ascii="Arial" w:hAnsi="Arial" w:cs="Arial"/>
          <w:bCs/>
          <w:sz w:val="24"/>
          <w:szCs w:val="24"/>
        </w:rPr>
        <w:t xml:space="preserve">Diana Idalín </w:t>
      </w:r>
      <w:r w:rsidR="00F67BC1">
        <w:rPr>
          <w:rFonts w:ascii="Arial" w:hAnsi="Arial" w:cs="Arial"/>
          <w:bCs/>
          <w:sz w:val="24"/>
          <w:szCs w:val="24"/>
        </w:rPr>
        <w:t>Ruiz</w:t>
      </w:r>
      <w:r w:rsidR="002D6B95">
        <w:rPr>
          <w:rFonts w:ascii="Arial" w:hAnsi="Arial" w:cs="Arial"/>
          <w:bCs/>
          <w:sz w:val="24"/>
          <w:szCs w:val="24"/>
        </w:rPr>
        <w:t xml:space="preserve"> Anchondo</w:t>
      </w:r>
      <w:r w:rsidR="009457BE" w:rsidRPr="009457BE">
        <w:rPr>
          <w:rFonts w:ascii="Arial" w:hAnsi="Arial" w:cs="Arial"/>
          <w:bCs/>
          <w:sz w:val="24"/>
          <w:szCs w:val="24"/>
        </w:rPr>
        <w:t xml:space="preserve"> como </w:t>
      </w:r>
      <w:proofErr w:type="gramStart"/>
      <w:r w:rsidR="009457BE" w:rsidRPr="009457BE">
        <w:rPr>
          <w:rFonts w:ascii="Arial" w:hAnsi="Arial" w:cs="Arial"/>
          <w:bCs/>
          <w:sz w:val="24"/>
          <w:szCs w:val="24"/>
        </w:rPr>
        <w:t>Secretaria</w:t>
      </w:r>
      <w:proofErr w:type="gramEnd"/>
      <w:r w:rsidR="009457BE" w:rsidRPr="009457BE">
        <w:rPr>
          <w:rFonts w:ascii="Arial" w:hAnsi="Arial" w:cs="Arial"/>
          <w:bCs/>
          <w:sz w:val="24"/>
          <w:szCs w:val="24"/>
        </w:rPr>
        <w:t xml:space="preserve"> Adjunta del Tribunal Estatal de Justicia Administrativa, a partir del dieciocho de septiembre de dos mil veintiséis.</w:t>
      </w:r>
    </w:p>
    <w:p w14:paraId="7C0A0AA0" w14:textId="77777777" w:rsidR="00200DF0" w:rsidRPr="00EA17CE" w:rsidRDefault="00200DF0" w:rsidP="004D5EF3">
      <w:pPr>
        <w:tabs>
          <w:tab w:val="left" w:pos="6480"/>
        </w:tabs>
        <w:spacing w:after="0" w:line="360" w:lineRule="auto"/>
        <w:ind w:firstLine="851"/>
        <w:jc w:val="both"/>
        <w:rPr>
          <w:rFonts w:ascii="Arial" w:hAnsi="Arial" w:cs="Arial"/>
          <w:bCs/>
          <w:sz w:val="24"/>
          <w:szCs w:val="24"/>
        </w:rPr>
      </w:pPr>
    </w:p>
    <w:p w14:paraId="12CD30DD" w14:textId="17AAF9BF" w:rsidR="006858B0" w:rsidRDefault="00503953" w:rsidP="00F75EB2">
      <w:pPr>
        <w:spacing w:after="0" w:line="360" w:lineRule="auto"/>
        <w:ind w:firstLine="709"/>
        <w:jc w:val="both"/>
        <w:rPr>
          <w:rFonts w:ascii="Arial" w:hAnsi="Arial" w:cs="Arial"/>
          <w:bCs/>
          <w:sz w:val="24"/>
          <w:szCs w:val="24"/>
        </w:rPr>
      </w:pPr>
      <w:r>
        <w:rPr>
          <w:rFonts w:ascii="Arial" w:hAnsi="Arial" w:cs="Arial"/>
          <w:b/>
          <w:sz w:val="24"/>
          <w:szCs w:val="24"/>
        </w:rPr>
        <w:t>SEGUNDO</w:t>
      </w:r>
      <w:r w:rsidR="002725A8" w:rsidRPr="00EA17CE">
        <w:rPr>
          <w:rFonts w:ascii="Arial" w:hAnsi="Arial" w:cs="Arial"/>
          <w:b/>
          <w:sz w:val="24"/>
          <w:szCs w:val="24"/>
        </w:rPr>
        <w:t>.</w:t>
      </w:r>
      <w:r w:rsidR="006858B0" w:rsidRPr="00EA17CE">
        <w:rPr>
          <w:rFonts w:ascii="Arial" w:hAnsi="Arial" w:cs="Arial"/>
          <w:b/>
          <w:sz w:val="24"/>
          <w:szCs w:val="24"/>
        </w:rPr>
        <w:t xml:space="preserve"> </w:t>
      </w:r>
      <w:r w:rsidR="009457BE" w:rsidRPr="009457BE">
        <w:rPr>
          <w:rFonts w:ascii="Arial" w:hAnsi="Arial" w:cs="Arial"/>
          <w:bCs/>
          <w:sz w:val="24"/>
          <w:szCs w:val="24"/>
        </w:rPr>
        <w:t xml:space="preserve">Se aprueba la designación temporal de </w:t>
      </w:r>
      <w:r w:rsidR="002D6B95">
        <w:rPr>
          <w:rFonts w:ascii="Arial" w:hAnsi="Arial" w:cs="Arial"/>
          <w:bCs/>
          <w:sz w:val="24"/>
          <w:szCs w:val="24"/>
        </w:rPr>
        <w:t>Diana Idalín Ru</w:t>
      </w:r>
      <w:r w:rsidR="00F67BC1">
        <w:rPr>
          <w:rFonts w:ascii="Arial" w:hAnsi="Arial" w:cs="Arial"/>
          <w:bCs/>
          <w:sz w:val="24"/>
          <w:szCs w:val="24"/>
        </w:rPr>
        <w:t>i</w:t>
      </w:r>
      <w:r w:rsidR="002D6B95">
        <w:rPr>
          <w:rFonts w:ascii="Arial" w:hAnsi="Arial" w:cs="Arial"/>
          <w:bCs/>
          <w:sz w:val="24"/>
          <w:szCs w:val="24"/>
        </w:rPr>
        <w:t>z Anchondo</w:t>
      </w:r>
      <w:r w:rsidR="009457BE" w:rsidRPr="009457BE">
        <w:rPr>
          <w:rFonts w:ascii="Arial" w:hAnsi="Arial" w:cs="Arial"/>
          <w:bCs/>
          <w:sz w:val="24"/>
          <w:szCs w:val="24"/>
        </w:rPr>
        <w:t xml:space="preserve">, para desempeñar funciones del cargo de Primera </w:t>
      </w:r>
      <w:proofErr w:type="gramStart"/>
      <w:r w:rsidR="009457BE" w:rsidRPr="009457BE">
        <w:rPr>
          <w:rFonts w:ascii="Arial" w:hAnsi="Arial" w:cs="Arial"/>
          <w:bCs/>
          <w:sz w:val="24"/>
          <w:szCs w:val="24"/>
        </w:rPr>
        <w:t>Secretaria</w:t>
      </w:r>
      <w:proofErr w:type="gramEnd"/>
      <w:r w:rsidR="009457BE" w:rsidRPr="009457BE">
        <w:rPr>
          <w:rFonts w:ascii="Arial" w:hAnsi="Arial" w:cs="Arial"/>
          <w:bCs/>
          <w:sz w:val="24"/>
          <w:szCs w:val="24"/>
        </w:rPr>
        <w:t xml:space="preserve"> de Acuerdos de la Primera Sala Unitaria Administrativa, a partir del dieciocho de septiembre de dos mil veintiséis.</w:t>
      </w:r>
    </w:p>
    <w:p w14:paraId="569710BE" w14:textId="77777777" w:rsidR="009457BE" w:rsidRPr="00EA17CE" w:rsidRDefault="009457BE" w:rsidP="00F75EB2">
      <w:pPr>
        <w:spacing w:after="0" w:line="360" w:lineRule="auto"/>
        <w:ind w:firstLine="709"/>
        <w:jc w:val="both"/>
        <w:rPr>
          <w:rFonts w:ascii="Arial" w:hAnsi="Arial" w:cs="Arial"/>
          <w:b/>
          <w:sz w:val="24"/>
          <w:szCs w:val="24"/>
        </w:rPr>
      </w:pPr>
    </w:p>
    <w:p w14:paraId="52F48065" w14:textId="27246DDE" w:rsidR="00F75EB2" w:rsidRDefault="00503953" w:rsidP="00F75EB2">
      <w:pPr>
        <w:spacing w:after="0" w:line="360" w:lineRule="auto"/>
        <w:ind w:firstLine="709"/>
        <w:jc w:val="both"/>
        <w:rPr>
          <w:rFonts w:ascii="Arial" w:hAnsi="Arial" w:cs="Arial"/>
          <w:bCs/>
          <w:sz w:val="24"/>
          <w:szCs w:val="24"/>
        </w:rPr>
      </w:pPr>
      <w:r>
        <w:rPr>
          <w:rFonts w:ascii="Arial" w:hAnsi="Arial" w:cs="Arial"/>
          <w:b/>
          <w:sz w:val="24"/>
          <w:szCs w:val="24"/>
        </w:rPr>
        <w:t>TERCERO</w:t>
      </w:r>
      <w:r w:rsidR="006858B0" w:rsidRPr="00EA17CE">
        <w:rPr>
          <w:rFonts w:ascii="Arial" w:hAnsi="Arial" w:cs="Arial"/>
          <w:b/>
          <w:sz w:val="24"/>
          <w:szCs w:val="24"/>
        </w:rPr>
        <w:t>.</w:t>
      </w:r>
      <w:r w:rsidR="002725A8" w:rsidRPr="00EA17CE">
        <w:rPr>
          <w:rFonts w:ascii="Arial" w:hAnsi="Arial" w:cs="Arial"/>
          <w:bCs/>
          <w:sz w:val="24"/>
          <w:szCs w:val="24"/>
        </w:rPr>
        <w:t xml:space="preserve"> </w:t>
      </w:r>
      <w:r w:rsidR="009457BE" w:rsidRPr="009457BE">
        <w:rPr>
          <w:rFonts w:ascii="Arial" w:hAnsi="Arial" w:cs="Arial"/>
          <w:bCs/>
          <w:sz w:val="24"/>
          <w:szCs w:val="24"/>
        </w:rPr>
        <w:t xml:space="preserve">Se autoriza a la persona designada como Primera </w:t>
      </w:r>
      <w:proofErr w:type="gramStart"/>
      <w:r w:rsidR="009457BE" w:rsidRPr="009457BE">
        <w:rPr>
          <w:rFonts w:ascii="Arial" w:hAnsi="Arial" w:cs="Arial"/>
          <w:bCs/>
          <w:sz w:val="24"/>
          <w:szCs w:val="24"/>
        </w:rPr>
        <w:t>Secretaria</w:t>
      </w:r>
      <w:proofErr w:type="gramEnd"/>
      <w:r w:rsidR="009457BE" w:rsidRPr="009457BE">
        <w:rPr>
          <w:rFonts w:ascii="Arial" w:hAnsi="Arial" w:cs="Arial"/>
          <w:bCs/>
          <w:sz w:val="24"/>
          <w:szCs w:val="24"/>
        </w:rPr>
        <w:t xml:space="preserve"> de Acuerdos de la Primera Sala Unitaria Administrativa la suplencia por la ausencia de la persona titular de la Magistratura de la Sala de referencia, conforme al artículo 9, fracción XIV, de la Ley Orgánica del Tribunal Estatal de Justicia Administrativa.</w:t>
      </w:r>
    </w:p>
    <w:p w14:paraId="7CCB6E9B" w14:textId="77777777" w:rsidR="009457BE" w:rsidRDefault="009457BE" w:rsidP="00F75EB2">
      <w:pPr>
        <w:spacing w:after="0" w:line="360" w:lineRule="auto"/>
        <w:ind w:firstLine="709"/>
        <w:jc w:val="both"/>
        <w:rPr>
          <w:rFonts w:ascii="Arial" w:hAnsi="Arial" w:cs="Arial"/>
          <w:bCs/>
          <w:sz w:val="24"/>
          <w:szCs w:val="24"/>
        </w:rPr>
      </w:pPr>
    </w:p>
    <w:p w14:paraId="15BDE460" w14:textId="1AA9BA8F" w:rsidR="009457BE" w:rsidRDefault="009457BE" w:rsidP="00F75EB2">
      <w:pPr>
        <w:spacing w:after="0" w:line="360" w:lineRule="auto"/>
        <w:ind w:firstLine="709"/>
        <w:jc w:val="both"/>
        <w:rPr>
          <w:rFonts w:ascii="Arial" w:hAnsi="Arial" w:cs="Arial"/>
          <w:bCs/>
          <w:sz w:val="24"/>
          <w:szCs w:val="24"/>
        </w:rPr>
      </w:pPr>
      <w:r w:rsidRPr="009457BE">
        <w:rPr>
          <w:rFonts w:ascii="Arial" w:hAnsi="Arial" w:cs="Arial"/>
          <w:b/>
          <w:sz w:val="24"/>
          <w:szCs w:val="24"/>
        </w:rPr>
        <w:t>CUARTO.</w:t>
      </w:r>
      <w:r w:rsidRPr="009457BE">
        <w:rPr>
          <w:rFonts w:ascii="Arial" w:hAnsi="Arial" w:cs="Arial"/>
          <w:bCs/>
          <w:sz w:val="24"/>
          <w:szCs w:val="24"/>
        </w:rPr>
        <w:t xml:space="preserve"> Se instruye a la Coordinación Administrativa para que realice los movimientos administrativos, presupuestales, de nómina y demás actuaciones necesarias para la ejecución del presente Acuerdo.</w:t>
      </w:r>
    </w:p>
    <w:p w14:paraId="44F9F882" w14:textId="77777777" w:rsidR="009457BE" w:rsidRPr="00EA17CE" w:rsidRDefault="009457BE" w:rsidP="00F75EB2">
      <w:pPr>
        <w:spacing w:after="0" w:line="360" w:lineRule="auto"/>
        <w:ind w:firstLine="709"/>
        <w:jc w:val="both"/>
        <w:rPr>
          <w:rFonts w:ascii="Arial" w:hAnsi="Arial" w:cs="Arial"/>
          <w:b/>
          <w:sz w:val="24"/>
          <w:szCs w:val="24"/>
        </w:rPr>
      </w:pPr>
    </w:p>
    <w:p w14:paraId="048CDA22" w14:textId="7C66B0F3" w:rsidR="00DE50C5" w:rsidRPr="00EA17CE" w:rsidRDefault="00F75EB2" w:rsidP="009457BE">
      <w:pPr>
        <w:spacing w:after="0" w:line="360" w:lineRule="auto"/>
        <w:ind w:firstLine="709"/>
        <w:jc w:val="both"/>
        <w:rPr>
          <w:rFonts w:ascii="Arial" w:eastAsia="Tahoma" w:hAnsi="Arial" w:cs="Arial"/>
          <w:sz w:val="24"/>
          <w:szCs w:val="24"/>
        </w:rPr>
      </w:pPr>
      <w:r w:rsidRPr="00EA17CE">
        <w:rPr>
          <w:rFonts w:ascii="Arial" w:hAnsi="Arial" w:cs="Arial"/>
          <w:b/>
          <w:sz w:val="24"/>
          <w:szCs w:val="24"/>
        </w:rPr>
        <w:t xml:space="preserve"> </w:t>
      </w:r>
      <w:r w:rsidR="00DE50C5" w:rsidRPr="00EA17CE">
        <w:rPr>
          <w:rFonts w:ascii="Arial" w:eastAsia="Tahoma" w:hAnsi="Arial" w:cs="Arial"/>
          <w:b/>
          <w:sz w:val="24"/>
          <w:szCs w:val="24"/>
        </w:rPr>
        <w:t>NOTIFÍQUESE</w:t>
      </w:r>
      <w:r w:rsidR="00DE50C5" w:rsidRPr="00EA17CE">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14492B5B"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de</w:t>
      </w:r>
      <w:r w:rsidR="00B27B4B">
        <w:rPr>
          <w:rFonts w:ascii="Arial" w:eastAsia="Arial" w:hAnsi="Arial" w:cs="Arial"/>
          <w:sz w:val="24"/>
          <w:szCs w:val="24"/>
        </w:rPr>
        <w:t xml:space="preserve"> </w:t>
      </w:r>
      <w:r w:rsidR="00C21049">
        <w:rPr>
          <w:rFonts w:ascii="Arial" w:eastAsia="Arial" w:hAnsi="Arial" w:cs="Arial"/>
          <w:sz w:val="24"/>
          <w:szCs w:val="24"/>
        </w:rPr>
        <w:t>diecisiete</w:t>
      </w:r>
      <w:r w:rsidR="004C0A54">
        <w:rPr>
          <w:rFonts w:ascii="Arial" w:eastAsia="Arial" w:hAnsi="Arial" w:cs="Arial"/>
          <w:sz w:val="24"/>
          <w:szCs w:val="24"/>
        </w:rPr>
        <w:t xml:space="preserve"> de </w:t>
      </w:r>
      <w:r w:rsidR="00B27B4B">
        <w:rPr>
          <w:rFonts w:ascii="Arial" w:eastAsia="Arial" w:hAnsi="Arial" w:cs="Arial"/>
          <w:sz w:val="24"/>
          <w:szCs w:val="24"/>
        </w:rPr>
        <w:t>septiembre</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p w14:paraId="17935561" w14:textId="77777777" w:rsidR="006A6E61" w:rsidRDefault="006A6E61" w:rsidP="00DE50C5">
      <w:pPr>
        <w:spacing w:after="0"/>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5DD2B2A2" w14:textId="36384C02" w:rsidR="00630D93"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p>
    <w:p w14:paraId="1097AF1C" w14:textId="77777777" w:rsidR="00630D93" w:rsidRDefault="00630D93" w:rsidP="00DE50C5">
      <w:pPr>
        <w:tabs>
          <w:tab w:val="left" w:pos="5529"/>
        </w:tabs>
        <w:spacing w:after="0" w:line="240" w:lineRule="auto"/>
        <w:jc w:val="center"/>
        <w:rPr>
          <w:rFonts w:ascii="Arial" w:eastAsia="Arial" w:hAnsi="Arial" w:cs="Arial"/>
          <w:b/>
          <w:bCs/>
          <w:sz w:val="24"/>
          <w:szCs w:val="24"/>
          <w:lang w:eastAsia="es-MX"/>
        </w:rPr>
      </w:pPr>
    </w:p>
    <w:p w14:paraId="7A78D0CC" w14:textId="3E52FBE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638B9BBC" w14:textId="77777777" w:rsidR="007C0F40" w:rsidRDefault="007C0F40" w:rsidP="00DE50C5">
      <w:pPr>
        <w:spacing w:after="0" w:line="240" w:lineRule="auto"/>
        <w:jc w:val="both"/>
        <w:rPr>
          <w:rFonts w:ascii="Arial" w:eastAsia="Tahoma" w:hAnsi="Arial" w:cs="Arial"/>
          <w:b/>
          <w:bCs/>
          <w:sz w:val="20"/>
          <w:szCs w:val="20"/>
        </w:rPr>
      </w:pPr>
    </w:p>
    <w:p w14:paraId="26DC37F0" w14:textId="6A0A4CB9"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adscrita</w:t>
      </w:r>
      <w:r w:rsidR="00493886">
        <w:rPr>
          <w:rFonts w:ascii="Arial" w:eastAsia="Tahoma" w:hAnsi="Arial" w:cs="Arial"/>
          <w:sz w:val="20"/>
          <w:szCs w:val="20"/>
        </w:rPr>
        <w:t xml:space="preserve"> a la</w:t>
      </w:r>
      <w:r w:rsidR="00532BCB">
        <w:rPr>
          <w:rFonts w:ascii="Arial" w:eastAsia="Tahoma" w:hAnsi="Arial" w:cs="Arial"/>
          <w:sz w:val="20"/>
          <w:szCs w:val="20"/>
        </w:rPr>
        <w:t xml:space="preserve">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DB952" w14:textId="77777777" w:rsidR="00D1134F" w:rsidRDefault="00D1134F" w:rsidP="00DE50C5">
      <w:pPr>
        <w:spacing w:after="0" w:line="240" w:lineRule="auto"/>
      </w:pPr>
      <w:r>
        <w:separator/>
      </w:r>
    </w:p>
  </w:endnote>
  <w:endnote w:type="continuationSeparator" w:id="0">
    <w:p w14:paraId="340B0E8F" w14:textId="77777777" w:rsidR="00D1134F" w:rsidRDefault="00D1134F"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63338D9B" w:rsidR="00C74C5B" w:rsidRPr="00F82B1B" w:rsidRDefault="00C74C5B" w:rsidP="00C74C5B">
        <w:pPr>
          <w:pStyle w:val="Piedepgina"/>
          <w:rPr>
            <w:rFonts w:ascii="Arial" w:hAnsi="Arial" w:cs="Arial"/>
          </w:rPr>
        </w:pPr>
        <w:r w:rsidRPr="00F82B1B">
          <w:rPr>
            <w:rFonts w:ascii="Arial" w:hAnsi="Arial" w:cs="Arial"/>
          </w:rPr>
          <w:t>ACUERDO PLENO-</w:t>
        </w:r>
        <w:r w:rsidR="004D5EF3">
          <w:rPr>
            <w:rFonts w:ascii="Arial" w:hAnsi="Arial" w:cs="Arial"/>
          </w:rPr>
          <w:t>0</w:t>
        </w:r>
        <w:r w:rsidR="00F75EB2">
          <w:rPr>
            <w:rFonts w:ascii="Arial" w:hAnsi="Arial" w:cs="Arial"/>
          </w:rPr>
          <w:t>7</w:t>
        </w:r>
        <w:r w:rsidR="00886A89">
          <w:rPr>
            <w:rFonts w:ascii="Arial" w:hAnsi="Arial" w:cs="Arial"/>
          </w:rPr>
          <w:t>1</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D3FBE" w14:textId="77777777" w:rsidR="00D1134F" w:rsidRDefault="00D1134F" w:rsidP="00DE50C5">
      <w:pPr>
        <w:spacing w:after="0" w:line="240" w:lineRule="auto"/>
      </w:pPr>
      <w:r>
        <w:separator/>
      </w:r>
    </w:p>
  </w:footnote>
  <w:footnote w:type="continuationSeparator" w:id="0">
    <w:p w14:paraId="09E20150" w14:textId="77777777" w:rsidR="00D1134F" w:rsidRDefault="00D1134F" w:rsidP="00DE50C5">
      <w:pPr>
        <w:spacing w:after="0" w:line="240" w:lineRule="auto"/>
      </w:pPr>
      <w:r>
        <w:continuationSeparator/>
      </w:r>
    </w:p>
  </w:footnote>
  <w:footnote w:id="1">
    <w:p w14:paraId="512775E7" w14:textId="129E748D"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4D5EF3">
        <w:rPr>
          <w:rFonts w:ascii="Arial" w:eastAsia="Tahoma" w:hAnsi="Arial" w:cs="Arial"/>
          <w:sz w:val="20"/>
          <w:szCs w:val="20"/>
        </w:rPr>
        <w:t>0</w:t>
      </w:r>
      <w:r w:rsidR="00503953">
        <w:rPr>
          <w:rFonts w:ascii="Arial" w:eastAsia="Tahoma" w:hAnsi="Arial" w:cs="Arial"/>
          <w:sz w:val="20"/>
          <w:szCs w:val="20"/>
        </w:rPr>
        <w:t>71</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C21049">
        <w:rPr>
          <w:rFonts w:ascii="Arial" w:eastAsia="Tahoma" w:hAnsi="Arial" w:cs="Arial"/>
          <w:sz w:val="20"/>
          <w:szCs w:val="20"/>
        </w:rPr>
        <w:t xml:space="preserve">diecisiete </w:t>
      </w:r>
      <w:r w:rsidR="004C0A54">
        <w:rPr>
          <w:rFonts w:ascii="Arial" w:eastAsia="Tahoma" w:hAnsi="Arial" w:cs="Arial"/>
          <w:sz w:val="20"/>
          <w:szCs w:val="20"/>
        </w:rPr>
        <w:t xml:space="preserve">de </w:t>
      </w:r>
      <w:r w:rsidR="00B27B4B">
        <w:rPr>
          <w:rFonts w:ascii="Arial" w:eastAsia="Tahoma" w:hAnsi="Arial" w:cs="Arial"/>
          <w:sz w:val="20"/>
          <w:szCs w:val="20"/>
        </w:rPr>
        <w:t>septiembre</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00F75EB2">
        <w:rPr>
          <w:rFonts w:ascii="Arial" w:eastAsia="Times New Roman" w:hAnsi="Arial" w:cs="Arial"/>
          <w:sz w:val="20"/>
          <w:szCs w:val="20"/>
        </w:rPr>
        <w:t xml:space="preserve">aprueba </w:t>
      </w:r>
      <w:r w:rsidR="00503953">
        <w:rPr>
          <w:rFonts w:ascii="Arial" w:eastAsia="Times New Roman" w:hAnsi="Arial" w:cs="Arial"/>
          <w:sz w:val="20"/>
          <w:szCs w:val="20"/>
        </w:rPr>
        <w:t>nombramiento y designación temporal</w:t>
      </w:r>
      <w:r w:rsidR="00C21049">
        <w:rPr>
          <w:rFonts w:ascii="Arial" w:eastAsia="Times New Roman" w:hAnsi="Arial" w:cs="Arial"/>
          <w:sz w:val="20"/>
          <w:szCs w:val="20"/>
        </w:rPr>
        <w:t xml:space="preserve"> </w:t>
      </w:r>
      <w:r w:rsidR="009B74D5" w:rsidRPr="00F06309">
        <w:rPr>
          <w:rFonts w:ascii="Arial" w:eastAsia="Times New Roman" w:hAnsi="Arial" w:cs="Arial"/>
          <w:sz w:val="20"/>
          <w:szCs w:val="20"/>
        </w:rPr>
        <w:t>de personal</w:t>
      </w:r>
      <w:r w:rsidR="00F75EB2">
        <w:rPr>
          <w:rFonts w:ascii="Arial" w:eastAsia="Times New Roman" w:hAnsi="Arial" w:cs="Arial"/>
          <w:sz w:val="20"/>
          <w:szCs w:val="20"/>
        </w:rPr>
        <w:t xml:space="preserve"> del Tribunal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1657"/>
    <w:rsid w:val="00033C55"/>
    <w:rsid w:val="00041C4E"/>
    <w:rsid w:val="00041EB9"/>
    <w:rsid w:val="0004371C"/>
    <w:rsid w:val="00070F6E"/>
    <w:rsid w:val="000722CD"/>
    <w:rsid w:val="00075A05"/>
    <w:rsid w:val="00075D31"/>
    <w:rsid w:val="000761D5"/>
    <w:rsid w:val="00077F16"/>
    <w:rsid w:val="00083C9F"/>
    <w:rsid w:val="00091B5D"/>
    <w:rsid w:val="0009490A"/>
    <w:rsid w:val="000A0E44"/>
    <w:rsid w:val="000B3BB6"/>
    <w:rsid w:val="000B6926"/>
    <w:rsid w:val="000B73D8"/>
    <w:rsid w:val="000C4EB5"/>
    <w:rsid w:val="000C7F13"/>
    <w:rsid w:val="000D4570"/>
    <w:rsid w:val="000D671F"/>
    <w:rsid w:val="000E02CB"/>
    <w:rsid w:val="000E3E70"/>
    <w:rsid w:val="000F0AA0"/>
    <w:rsid w:val="000F13FA"/>
    <w:rsid w:val="000F42B7"/>
    <w:rsid w:val="0010083E"/>
    <w:rsid w:val="00100CFD"/>
    <w:rsid w:val="0010340A"/>
    <w:rsid w:val="00106418"/>
    <w:rsid w:val="00113A61"/>
    <w:rsid w:val="00121FA6"/>
    <w:rsid w:val="00121FB3"/>
    <w:rsid w:val="0012478C"/>
    <w:rsid w:val="00132850"/>
    <w:rsid w:val="0013623D"/>
    <w:rsid w:val="00136691"/>
    <w:rsid w:val="00142A42"/>
    <w:rsid w:val="00150092"/>
    <w:rsid w:val="00165672"/>
    <w:rsid w:val="001707F6"/>
    <w:rsid w:val="00172149"/>
    <w:rsid w:val="00173090"/>
    <w:rsid w:val="001864B0"/>
    <w:rsid w:val="001A5596"/>
    <w:rsid w:val="001B2482"/>
    <w:rsid w:val="001B2BE3"/>
    <w:rsid w:val="001B7A1D"/>
    <w:rsid w:val="001C2955"/>
    <w:rsid w:val="001C71FC"/>
    <w:rsid w:val="001C7BEB"/>
    <w:rsid w:val="001D4048"/>
    <w:rsid w:val="001D5A4B"/>
    <w:rsid w:val="001E6919"/>
    <w:rsid w:val="001F0ED3"/>
    <w:rsid w:val="001F7C0E"/>
    <w:rsid w:val="00200DF0"/>
    <w:rsid w:val="00211B9F"/>
    <w:rsid w:val="00212532"/>
    <w:rsid w:val="00213FDB"/>
    <w:rsid w:val="002151DB"/>
    <w:rsid w:val="0021583E"/>
    <w:rsid w:val="00222FE9"/>
    <w:rsid w:val="00223E3D"/>
    <w:rsid w:val="002358B3"/>
    <w:rsid w:val="0024091E"/>
    <w:rsid w:val="002410CC"/>
    <w:rsid w:val="002502ED"/>
    <w:rsid w:val="00261C56"/>
    <w:rsid w:val="002725A8"/>
    <w:rsid w:val="0027388F"/>
    <w:rsid w:val="0029013A"/>
    <w:rsid w:val="00294A09"/>
    <w:rsid w:val="00297128"/>
    <w:rsid w:val="002A0926"/>
    <w:rsid w:val="002A25BF"/>
    <w:rsid w:val="002A55A6"/>
    <w:rsid w:val="002A6DD9"/>
    <w:rsid w:val="002B1DC1"/>
    <w:rsid w:val="002B3147"/>
    <w:rsid w:val="002B3161"/>
    <w:rsid w:val="002B354A"/>
    <w:rsid w:val="002B48F7"/>
    <w:rsid w:val="002B6CCE"/>
    <w:rsid w:val="002C4B6A"/>
    <w:rsid w:val="002D0E05"/>
    <w:rsid w:val="002D6B95"/>
    <w:rsid w:val="002E6617"/>
    <w:rsid w:val="002E77EB"/>
    <w:rsid w:val="002F1C2C"/>
    <w:rsid w:val="002F3D3B"/>
    <w:rsid w:val="00301803"/>
    <w:rsid w:val="00304B93"/>
    <w:rsid w:val="0031132D"/>
    <w:rsid w:val="00316E6A"/>
    <w:rsid w:val="00317185"/>
    <w:rsid w:val="00321192"/>
    <w:rsid w:val="00322FF9"/>
    <w:rsid w:val="00323447"/>
    <w:rsid w:val="003304B4"/>
    <w:rsid w:val="0033294E"/>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6CBC"/>
    <w:rsid w:val="003B7967"/>
    <w:rsid w:val="003C0DF6"/>
    <w:rsid w:val="003C0E58"/>
    <w:rsid w:val="003C2A1F"/>
    <w:rsid w:val="003C2E5D"/>
    <w:rsid w:val="003C78A3"/>
    <w:rsid w:val="003D2E78"/>
    <w:rsid w:val="003E3914"/>
    <w:rsid w:val="003E52E6"/>
    <w:rsid w:val="003F570F"/>
    <w:rsid w:val="003F6454"/>
    <w:rsid w:val="003F74CA"/>
    <w:rsid w:val="00427FA8"/>
    <w:rsid w:val="00430BF0"/>
    <w:rsid w:val="004359A0"/>
    <w:rsid w:val="00442265"/>
    <w:rsid w:val="00450C0F"/>
    <w:rsid w:val="00463A4A"/>
    <w:rsid w:val="00463AA3"/>
    <w:rsid w:val="004717A9"/>
    <w:rsid w:val="00476E41"/>
    <w:rsid w:val="00477250"/>
    <w:rsid w:val="00481EFA"/>
    <w:rsid w:val="004827A9"/>
    <w:rsid w:val="0048306E"/>
    <w:rsid w:val="0048360C"/>
    <w:rsid w:val="00484B9E"/>
    <w:rsid w:val="00493886"/>
    <w:rsid w:val="00494005"/>
    <w:rsid w:val="00496403"/>
    <w:rsid w:val="00497C2D"/>
    <w:rsid w:val="004A1700"/>
    <w:rsid w:val="004A6CF8"/>
    <w:rsid w:val="004B1048"/>
    <w:rsid w:val="004C037A"/>
    <w:rsid w:val="004C0A54"/>
    <w:rsid w:val="004C21DC"/>
    <w:rsid w:val="004C243D"/>
    <w:rsid w:val="004D3CE5"/>
    <w:rsid w:val="004D51F3"/>
    <w:rsid w:val="004D5EF3"/>
    <w:rsid w:val="004E42EB"/>
    <w:rsid w:val="004E43FA"/>
    <w:rsid w:val="004F5F62"/>
    <w:rsid w:val="00503953"/>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69F1"/>
    <w:rsid w:val="005C7AC7"/>
    <w:rsid w:val="005D22A9"/>
    <w:rsid w:val="005D2CEE"/>
    <w:rsid w:val="005D6944"/>
    <w:rsid w:val="005F0EF7"/>
    <w:rsid w:val="005F1E4D"/>
    <w:rsid w:val="005F38B7"/>
    <w:rsid w:val="006034D5"/>
    <w:rsid w:val="00603AA0"/>
    <w:rsid w:val="00604978"/>
    <w:rsid w:val="006078F4"/>
    <w:rsid w:val="00616310"/>
    <w:rsid w:val="00622B1C"/>
    <w:rsid w:val="006236BA"/>
    <w:rsid w:val="0062385D"/>
    <w:rsid w:val="00630D93"/>
    <w:rsid w:val="00633C08"/>
    <w:rsid w:val="006350A8"/>
    <w:rsid w:val="00640B1B"/>
    <w:rsid w:val="00641723"/>
    <w:rsid w:val="0064295E"/>
    <w:rsid w:val="006449DE"/>
    <w:rsid w:val="006455B3"/>
    <w:rsid w:val="006479E0"/>
    <w:rsid w:val="0065052D"/>
    <w:rsid w:val="0065193A"/>
    <w:rsid w:val="0065330D"/>
    <w:rsid w:val="0066075E"/>
    <w:rsid w:val="00666A97"/>
    <w:rsid w:val="00671F2C"/>
    <w:rsid w:val="006813D5"/>
    <w:rsid w:val="00682BF8"/>
    <w:rsid w:val="0068339E"/>
    <w:rsid w:val="006842C3"/>
    <w:rsid w:val="006858B0"/>
    <w:rsid w:val="0069111C"/>
    <w:rsid w:val="006949FB"/>
    <w:rsid w:val="006954B6"/>
    <w:rsid w:val="006A3640"/>
    <w:rsid w:val="006A3FCA"/>
    <w:rsid w:val="006A4E9F"/>
    <w:rsid w:val="006A6E61"/>
    <w:rsid w:val="006C148A"/>
    <w:rsid w:val="006E3141"/>
    <w:rsid w:val="006E370C"/>
    <w:rsid w:val="006E63B0"/>
    <w:rsid w:val="006F27A9"/>
    <w:rsid w:val="006F6FB9"/>
    <w:rsid w:val="00706F37"/>
    <w:rsid w:val="007101BD"/>
    <w:rsid w:val="00712F70"/>
    <w:rsid w:val="00716D4E"/>
    <w:rsid w:val="0072466B"/>
    <w:rsid w:val="00732581"/>
    <w:rsid w:val="00732F4D"/>
    <w:rsid w:val="00740F63"/>
    <w:rsid w:val="0074317F"/>
    <w:rsid w:val="007435D4"/>
    <w:rsid w:val="00746D29"/>
    <w:rsid w:val="007704EA"/>
    <w:rsid w:val="00772A79"/>
    <w:rsid w:val="00775428"/>
    <w:rsid w:val="0078202F"/>
    <w:rsid w:val="00794884"/>
    <w:rsid w:val="00795333"/>
    <w:rsid w:val="007A1855"/>
    <w:rsid w:val="007A29C5"/>
    <w:rsid w:val="007A3416"/>
    <w:rsid w:val="007A54FB"/>
    <w:rsid w:val="007A5B83"/>
    <w:rsid w:val="007A6C6D"/>
    <w:rsid w:val="007A75F7"/>
    <w:rsid w:val="007B3593"/>
    <w:rsid w:val="007C0F40"/>
    <w:rsid w:val="007C3B2B"/>
    <w:rsid w:val="007C6621"/>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3471"/>
    <w:rsid w:val="00867110"/>
    <w:rsid w:val="00870067"/>
    <w:rsid w:val="00872889"/>
    <w:rsid w:val="00884A0E"/>
    <w:rsid w:val="00886A89"/>
    <w:rsid w:val="00886BD0"/>
    <w:rsid w:val="0089079C"/>
    <w:rsid w:val="0089281E"/>
    <w:rsid w:val="008A23B6"/>
    <w:rsid w:val="008A38AD"/>
    <w:rsid w:val="008B4C66"/>
    <w:rsid w:val="008D493D"/>
    <w:rsid w:val="008E5046"/>
    <w:rsid w:val="008F1EAF"/>
    <w:rsid w:val="00904AF8"/>
    <w:rsid w:val="00905146"/>
    <w:rsid w:val="009152C9"/>
    <w:rsid w:val="0092039D"/>
    <w:rsid w:val="00922545"/>
    <w:rsid w:val="009261DD"/>
    <w:rsid w:val="00930CC1"/>
    <w:rsid w:val="00932B91"/>
    <w:rsid w:val="009360FB"/>
    <w:rsid w:val="009457BE"/>
    <w:rsid w:val="009471D1"/>
    <w:rsid w:val="0095162A"/>
    <w:rsid w:val="00956285"/>
    <w:rsid w:val="00957C27"/>
    <w:rsid w:val="00963579"/>
    <w:rsid w:val="00965960"/>
    <w:rsid w:val="00970029"/>
    <w:rsid w:val="00972539"/>
    <w:rsid w:val="0097556C"/>
    <w:rsid w:val="00976BB2"/>
    <w:rsid w:val="00997B3E"/>
    <w:rsid w:val="009A12D3"/>
    <w:rsid w:val="009A159C"/>
    <w:rsid w:val="009A33D1"/>
    <w:rsid w:val="009B11F7"/>
    <w:rsid w:val="009B4CF4"/>
    <w:rsid w:val="009B6136"/>
    <w:rsid w:val="009B74D5"/>
    <w:rsid w:val="009C4AC6"/>
    <w:rsid w:val="009D18AD"/>
    <w:rsid w:val="009D3758"/>
    <w:rsid w:val="009E117C"/>
    <w:rsid w:val="009E4B55"/>
    <w:rsid w:val="009E68BC"/>
    <w:rsid w:val="009F1917"/>
    <w:rsid w:val="009F7293"/>
    <w:rsid w:val="00A13132"/>
    <w:rsid w:val="00A131C8"/>
    <w:rsid w:val="00A16904"/>
    <w:rsid w:val="00A16C07"/>
    <w:rsid w:val="00A16D05"/>
    <w:rsid w:val="00A2303A"/>
    <w:rsid w:val="00A2584B"/>
    <w:rsid w:val="00A25B70"/>
    <w:rsid w:val="00A328FE"/>
    <w:rsid w:val="00A33372"/>
    <w:rsid w:val="00A35788"/>
    <w:rsid w:val="00A40B5D"/>
    <w:rsid w:val="00A46716"/>
    <w:rsid w:val="00A5156E"/>
    <w:rsid w:val="00A5193A"/>
    <w:rsid w:val="00A56914"/>
    <w:rsid w:val="00A73087"/>
    <w:rsid w:val="00A81818"/>
    <w:rsid w:val="00A86F39"/>
    <w:rsid w:val="00AB1A0E"/>
    <w:rsid w:val="00AB3DF5"/>
    <w:rsid w:val="00AB5FD3"/>
    <w:rsid w:val="00AC7757"/>
    <w:rsid w:val="00AD46E4"/>
    <w:rsid w:val="00AD5445"/>
    <w:rsid w:val="00AD6EC0"/>
    <w:rsid w:val="00AE18D6"/>
    <w:rsid w:val="00AE1CAE"/>
    <w:rsid w:val="00AF4CB8"/>
    <w:rsid w:val="00B00A1C"/>
    <w:rsid w:val="00B0111F"/>
    <w:rsid w:val="00B032EF"/>
    <w:rsid w:val="00B12F1C"/>
    <w:rsid w:val="00B22628"/>
    <w:rsid w:val="00B277D3"/>
    <w:rsid w:val="00B27B4B"/>
    <w:rsid w:val="00B45420"/>
    <w:rsid w:val="00B5470D"/>
    <w:rsid w:val="00B5595F"/>
    <w:rsid w:val="00B574EA"/>
    <w:rsid w:val="00B57A79"/>
    <w:rsid w:val="00B6171B"/>
    <w:rsid w:val="00B64833"/>
    <w:rsid w:val="00B6518D"/>
    <w:rsid w:val="00B811BA"/>
    <w:rsid w:val="00B8301E"/>
    <w:rsid w:val="00B90AC2"/>
    <w:rsid w:val="00B91B90"/>
    <w:rsid w:val="00B943B7"/>
    <w:rsid w:val="00B96238"/>
    <w:rsid w:val="00B9774B"/>
    <w:rsid w:val="00BA2D67"/>
    <w:rsid w:val="00BA4720"/>
    <w:rsid w:val="00BA7652"/>
    <w:rsid w:val="00BB233B"/>
    <w:rsid w:val="00BB2756"/>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21049"/>
    <w:rsid w:val="00C335A2"/>
    <w:rsid w:val="00C4603A"/>
    <w:rsid w:val="00C47DD0"/>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A3EDC"/>
    <w:rsid w:val="00CB1148"/>
    <w:rsid w:val="00CB1A2F"/>
    <w:rsid w:val="00CB2A46"/>
    <w:rsid w:val="00CB5570"/>
    <w:rsid w:val="00CC5DDB"/>
    <w:rsid w:val="00CD1DB1"/>
    <w:rsid w:val="00CE49DF"/>
    <w:rsid w:val="00CE71E8"/>
    <w:rsid w:val="00D1134F"/>
    <w:rsid w:val="00D1445A"/>
    <w:rsid w:val="00D22ECA"/>
    <w:rsid w:val="00D24D64"/>
    <w:rsid w:val="00D256B5"/>
    <w:rsid w:val="00D3427B"/>
    <w:rsid w:val="00D40E98"/>
    <w:rsid w:val="00D44DCA"/>
    <w:rsid w:val="00D45298"/>
    <w:rsid w:val="00D50E36"/>
    <w:rsid w:val="00D52130"/>
    <w:rsid w:val="00D53388"/>
    <w:rsid w:val="00D60D04"/>
    <w:rsid w:val="00D61672"/>
    <w:rsid w:val="00D64EF2"/>
    <w:rsid w:val="00D8426B"/>
    <w:rsid w:val="00D96FBB"/>
    <w:rsid w:val="00DB1EE1"/>
    <w:rsid w:val="00DC0727"/>
    <w:rsid w:val="00DC1B29"/>
    <w:rsid w:val="00DC43AF"/>
    <w:rsid w:val="00DC43B5"/>
    <w:rsid w:val="00DC597E"/>
    <w:rsid w:val="00DC5AA4"/>
    <w:rsid w:val="00DE50C5"/>
    <w:rsid w:val="00DF44F6"/>
    <w:rsid w:val="00DF4E50"/>
    <w:rsid w:val="00DF5356"/>
    <w:rsid w:val="00E00360"/>
    <w:rsid w:val="00E00CA3"/>
    <w:rsid w:val="00E1089C"/>
    <w:rsid w:val="00E12B40"/>
    <w:rsid w:val="00E169A5"/>
    <w:rsid w:val="00E203C8"/>
    <w:rsid w:val="00E233A2"/>
    <w:rsid w:val="00E30E76"/>
    <w:rsid w:val="00E40467"/>
    <w:rsid w:val="00E4097A"/>
    <w:rsid w:val="00E43A93"/>
    <w:rsid w:val="00E44B51"/>
    <w:rsid w:val="00E46373"/>
    <w:rsid w:val="00E473E2"/>
    <w:rsid w:val="00E54C5D"/>
    <w:rsid w:val="00E570DC"/>
    <w:rsid w:val="00E57220"/>
    <w:rsid w:val="00E610C8"/>
    <w:rsid w:val="00E84624"/>
    <w:rsid w:val="00EA17CE"/>
    <w:rsid w:val="00EB07D6"/>
    <w:rsid w:val="00EB51AE"/>
    <w:rsid w:val="00EB631B"/>
    <w:rsid w:val="00EB7934"/>
    <w:rsid w:val="00EC19C2"/>
    <w:rsid w:val="00EC2776"/>
    <w:rsid w:val="00EC2F3C"/>
    <w:rsid w:val="00EF1B05"/>
    <w:rsid w:val="00EF2DAB"/>
    <w:rsid w:val="00F05A6C"/>
    <w:rsid w:val="00F06309"/>
    <w:rsid w:val="00F12B63"/>
    <w:rsid w:val="00F23BCE"/>
    <w:rsid w:val="00F27EA7"/>
    <w:rsid w:val="00F329B1"/>
    <w:rsid w:val="00F3362E"/>
    <w:rsid w:val="00F37822"/>
    <w:rsid w:val="00F4084E"/>
    <w:rsid w:val="00F46163"/>
    <w:rsid w:val="00F63C4C"/>
    <w:rsid w:val="00F64946"/>
    <w:rsid w:val="00F64BE1"/>
    <w:rsid w:val="00F65932"/>
    <w:rsid w:val="00F6642C"/>
    <w:rsid w:val="00F67BC1"/>
    <w:rsid w:val="00F75EB2"/>
    <w:rsid w:val="00F8234D"/>
    <w:rsid w:val="00F82B1B"/>
    <w:rsid w:val="00F870C7"/>
    <w:rsid w:val="00F9785D"/>
    <w:rsid w:val="00FA289B"/>
    <w:rsid w:val="00FB3659"/>
    <w:rsid w:val="00FC1B05"/>
    <w:rsid w:val="00FC247A"/>
    <w:rsid w:val="00FC330E"/>
    <w:rsid w:val="00FC637F"/>
    <w:rsid w:val="00FD0AB9"/>
    <w:rsid w:val="00FD14A7"/>
    <w:rsid w:val="00FD4C08"/>
    <w:rsid w:val="00FD5073"/>
    <w:rsid w:val="00FD5B08"/>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1808</Words>
  <Characters>9949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11</cp:revision>
  <cp:lastPrinted>2026-09-21T20:44:00Z</cp:lastPrinted>
  <dcterms:created xsi:type="dcterms:W3CDTF">2026-09-17T16:26:00Z</dcterms:created>
  <dcterms:modified xsi:type="dcterms:W3CDTF">2026-09-21T21:43:00Z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